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8EB2" w14:textId="77777777" w:rsidR="004D0628" w:rsidRPr="00B14E9C" w:rsidRDefault="004D0628" w:rsidP="008E622A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846C0E">
        <w:rPr>
          <w:rFonts w:ascii="Arial" w:hAnsi="Arial" w:cs="Arial"/>
          <w:b/>
          <w:bCs/>
          <w:i/>
          <w:iCs/>
          <w:sz w:val="36"/>
          <w:szCs w:val="36"/>
        </w:rPr>
        <w:t>In</w:t>
      </w:r>
      <w:r w:rsidR="00846C0E" w:rsidRPr="00846C0E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Pr="00846C0E">
        <w:rPr>
          <w:rFonts w:ascii="Arial" w:hAnsi="Arial" w:cs="Arial"/>
          <w:b/>
          <w:bCs/>
          <w:i/>
          <w:iCs/>
          <w:sz w:val="36"/>
          <w:szCs w:val="36"/>
        </w:rPr>
        <w:t>vitro</w:t>
      </w:r>
      <w:r w:rsidRPr="00B14E9C">
        <w:rPr>
          <w:rFonts w:ascii="Arial" w:hAnsi="Arial" w:cs="Arial"/>
          <w:b/>
          <w:bCs/>
          <w:sz w:val="36"/>
          <w:szCs w:val="36"/>
        </w:rPr>
        <w:t xml:space="preserve">-Studie zur viruziden Aktivität </w:t>
      </w:r>
      <w:r w:rsidRPr="003A63AA">
        <w:rPr>
          <w:rFonts w:ascii="Arial" w:hAnsi="Arial" w:cs="Arial"/>
          <w:b/>
          <w:bCs/>
          <w:sz w:val="36"/>
          <w:szCs w:val="36"/>
        </w:rPr>
        <w:t xml:space="preserve">von </w:t>
      </w:r>
      <w:proofErr w:type="spellStart"/>
      <w:r w:rsidR="00462E2D" w:rsidRPr="003A63AA">
        <w:rPr>
          <w:rFonts w:ascii="Arial" w:hAnsi="Arial" w:cs="Arial"/>
          <w:b/>
          <w:bCs/>
          <w:sz w:val="36"/>
          <w:szCs w:val="36"/>
        </w:rPr>
        <w:t>Povidon</w:t>
      </w:r>
      <w:proofErr w:type="spellEnd"/>
      <w:r w:rsidR="00462E2D" w:rsidRPr="003A63AA">
        <w:rPr>
          <w:rFonts w:ascii="Arial" w:hAnsi="Arial" w:cs="Arial"/>
          <w:b/>
          <w:bCs/>
          <w:sz w:val="36"/>
          <w:szCs w:val="36"/>
        </w:rPr>
        <w:t>-Iod (</w:t>
      </w:r>
      <w:r w:rsidRPr="00B14E9C">
        <w:rPr>
          <w:rFonts w:ascii="Arial" w:hAnsi="Arial" w:cs="Arial"/>
          <w:b/>
          <w:bCs/>
          <w:sz w:val="36"/>
          <w:szCs w:val="36"/>
        </w:rPr>
        <w:t>PVP-I</w:t>
      </w:r>
      <w:r w:rsidR="00462E2D" w:rsidRPr="003A63AA">
        <w:rPr>
          <w:rFonts w:ascii="Arial" w:hAnsi="Arial" w:cs="Arial"/>
          <w:b/>
          <w:bCs/>
          <w:sz w:val="36"/>
          <w:szCs w:val="36"/>
        </w:rPr>
        <w:t>)</w:t>
      </w:r>
      <w:r w:rsidRPr="00B14E9C">
        <w:rPr>
          <w:rFonts w:ascii="Arial" w:hAnsi="Arial" w:cs="Arial"/>
          <w:b/>
          <w:bCs/>
          <w:sz w:val="36"/>
          <w:szCs w:val="36"/>
        </w:rPr>
        <w:t xml:space="preserve"> gegen SARS-CoV-2 </w:t>
      </w:r>
    </w:p>
    <w:p w14:paraId="75BB46C2" w14:textId="77777777" w:rsidR="004D0628" w:rsidRPr="004D0628" w:rsidRDefault="004D0628" w:rsidP="008E622A">
      <w:pPr>
        <w:jc w:val="both"/>
        <w:rPr>
          <w:rFonts w:ascii="Arial" w:hAnsi="Arial" w:cs="Arial"/>
        </w:rPr>
      </w:pPr>
    </w:p>
    <w:p w14:paraId="2C9689AC" w14:textId="77777777" w:rsidR="004D0628" w:rsidRPr="00846C0E" w:rsidRDefault="004D0628" w:rsidP="008E622A">
      <w:pPr>
        <w:jc w:val="both"/>
        <w:rPr>
          <w:i/>
          <w:iCs/>
        </w:rPr>
      </w:pPr>
      <w:proofErr w:type="spellStart"/>
      <w:r w:rsidRPr="00846C0E">
        <w:rPr>
          <w:rFonts w:ascii="Arial" w:hAnsi="Arial" w:cs="Arial"/>
          <w:i/>
          <w:iCs/>
          <w:lang w:val="en-GB"/>
        </w:rPr>
        <w:t>Hassandarvish</w:t>
      </w:r>
      <w:proofErr w:type="spellEnd"/>
      <w:r w:rsidRPr="00846C0E">
        <w:rPr>
          <w:rFonts w:ascii="Arial" w:hAnsi="Arial" w:cs="Arial"/>
          <w:i/>
          <w:iCs/>
          <w:lang w:val="en-GB"/>
        </w:rPr>
        <w:t xml:space="preserve">, P., Tiong, V., </w:t>
      </w:r>
      <w:proofErr w:type="spellStart"/>
      <w:r w:rsidRPr="00846C0E">
        <w:rPr>
          <w:rFonts w:ascii="Arial" w:hAnsi="Arial" w:cs="Arial"/>
          <w:i/>
          <w:iCs/>
          <w:lang w:val="en-GB"/>
        </w:rPr>
        <w:t>Sazaly</w:t>
      </w:r>
      <w:proofErr w:type="spellEnd"/>
      <w:r w:rsidRPr="00846C0E">
        <w:rPr>
          <w:rFonts w:ascii="Arial" w:hAnsi="Arial" w:cs="Arial"/>
          <w:i/>
          <w:iCs/>
          <w:lang w:val="en-GB"/>
        </w:rPr>
        <w:t xml:space="preserve">, A. et al. Povidone iodine gargle and mouthwash. </w:t>
      </w:r>
      <w:r w:rsidRPr="00846C0E">
        <w:rPr>
          <w:rFonts w:ascii="Arial" w:hAnsi="Arial" w:cs="Arial"/>
          <w:i/>
          <w:iCs/>
        </w:rPr>
        <w:t xml:space="preserve">Br </w:t>
      </w:r>
      <w:proofErr w:type="spellStart"/>
      <w:r w:rsidRPr="00846C0E">
        <w:rPr>
          <w:rFonts w:ascii="Arial" w:hAnsi="Arial" w:cs="Arial"/>
          <w:i/>
          <w:iCs/>
        </w:rPr>
        <w:t>Dent</w:t>
      </w:r>
      <w:proofErr w:type="spellEnd"/>
      <w:r w:rsidRPr="00846C0E">
        <w:rPr>
          <w:rFonts w:ascii="Arial" w:hAnsi="Arial" w:cs="Arial"/>
          <w:i/>
          <w:iCs/>
        </w:rPr>
        <w:t xml:space="preserve"> J 228, 900 (2020)</w:t>
      </w:r>
      <w:r w:rsidR="00846C0E">
        <w:rPr>
          <w:rFonts w:ascii="Arial" w:hAnsi="Arial" w:cs="Arial"/>
          <w:i/>
          <w:iCs/>
        </w:rPr>
        <w:t>.</w:t>
      </w:r>
      <w:r w:rsidRPr="00846C0E">
        <w:rPr>
          <w:rFonts w:ascii="Arial" w:hAnsi="Arial" w:cs="Arial"/>
          <w:i/>
          <w:iCs/>
        </w:rPr>
        <w:t xml:space="preserve"> </w:t>
      </w:r>
      <w:hyperlink r:id="rId6" w:history="1">
        <w:r w:rsidR="00846C0E" w:rsidRPr="00956572">
          <w:rPr>
            <w:rStyle w:val="Hyperlink"/>
            <w:rFonts w:ascii="Arial" w:hAnsi="Arial" w:cs="Arial"/>
            <w:i/>
            <w:iCs/>
          </w:rPr>
          <w:t>www.nature.com/articles/s41415-020-1794-1</w:t>
        </w:r>
      </w:hyperlink>
      <w:r w:rsidR="00846C0E">
        <w:rPr>
          <w:rFonts w:ascii="Arial" w:hAnsi="Arial" w:cs="Arial"/>
          <w:i/>
          <w:iCs/>
        </w:rPr>
        <w:t xml:space="preserve"> </w:t>
      </w:r>
    </w:p>
    <w:p w14:paraId="262C5571" w14:textId="77777777" w:rsidR="004D0628" w:rsidRDefault="004D0628" w:rsidP="008E622A">
      <w:pPr>
        <w:jc w:val="both"/>
      </w:pPr>
    </w:p>
    <w:p w14:paraId="0DD68E3F" w14:textId="77777777" w:rsidR="004D0628" w:rsidRPr="004D0628" w:rsidRDefault="004D0628" w:rsidP="008E622A">
      <w:pPr>
        <w:jc w:val="both"/>
        <w:rPr>
          <w:rFonts w:ascii="Arial" w:hAnsi="Arial" w:cs="Arial"/>
          <w:b/>
          <w:bCs/>
        </w:rPr>
      </w:pPr>
      <w:r w:rsidRPr="004D0628">
        <w:rPr>
          <w:rFonts w:ascii="Arial" w:hAnsi="Arial" w:cs="Arial"/>
          <w:b/>
          <w:bCs/>
        </w:rPr>
        <w:t>Was wurde untersucht?</w:t>
      </w:r>
    </w:p>
    <w:p w14:paraId="7B1BB138" w14:textId="77777777" w:rsidR="004D0628" w:rsidRPr="004D0628" w:rsidRDefault="004D0628" w:rsidP="008E622A">
      <w:pPr>
        <w:spacing w:after="120" w:line="360" w:lineRule="auto"/>
        <w:jc w:val="both"/>
        <w:rPr>
          <w:rFonts w:ascii="Arial" w:hAnsi="Arial" w:cs="Arial"/>
        </w:rPr>
      </w:pPr>
      <w:r w:rsidRPr="004D0628">
        <w:rPr>
          <w:rFonts w:ascii="Arial" w:hAnsi="Arial" w:cs="Arial"/>
        </w:rPr>
        <w:t xml:space="preserve">Die Studienautoren testeten in einem Labor der biologischen Schutzstufe 3 am Forschungs- und Bildungszentrum für tropische Infektionskrankheiten (TIDREC: Tropical </w:t>
      </w:r>
      <w:proofErr w:type="spellStart"/>
      <w:r w:rsidRPr="004D0628">
        <w:rPr>
          <w:rFonts w:ascii="Arial" w:hAnsi="Arial" w:cs="Arial"/>
        </w:rPr>
        <w:t>Infectious</w:t>
      </w:r>
      <w:proofErr w:type="spellEnd"/>
      <w:r w:rsidRPr="004D0628">
        <w:rPr>
          <w:rFonts w:ascii="Arial" w:hAnsi="Arial" w:cs="Arial"/>
        </w:rPr>
        <w:t xml:space="preserve"> </w:t>
      </w:r>
      <w:proofErr w:type="spellStart"/>
      <w:r w:rsidRPr="004D0628">
        <w:rPr>
          <w:rFonts w:ascii="Arial" w:hAnsi="Arial" w:cs="Arial"/>
        </w:rPr>
        <w:t>Diseases</w:t>
      </w:r>
      <w:proofErr w:type="spellEnd"/>
      <w:r w:rsidRPr="004D0628">
        <w:rPr>
          <w:rFonts w:ascii="Arial" w:hAnsi="Arial" w:cs="Arial"/>
        </w:rPr>
        <w:t xml:space="preserve"> Research and Education Center) der Universität </w:t>
      </w:r>
      <w:proofErr w:type="spellStart"/>
      <w:r w:rsidRPr="004D0628">
        <w:rPr>
          <w:rFonts w:ascii="Arial" w:hAnsi="Arial" w:cs="Arial"/>
        </w:rPr>
        <w:t>Malaya</w:t>
      </w:r>
      <w:proofErr w:type="spellEnd"/>
      <w:r w:rsidRPr="004D0628">
        <w:rPr>
          <w:rFonts w:ascii="Arial" w:hAnsi="Arial" w:cs="Arial"/>
        </w:rPr>
        <w:t>, Malaysia, die viruzide Aktivität von</w:t>
      </w:r>
      <w:r w:rsidR="00C45F53">
        <w:rPr>
          <w:rFonts w:ascii="Arial" w:hAnsi="Arial" w:cs="Arial"/>
        </w:rPr>
        <w:t xml:space="preserve"> </w:t>
      </w:r>
      <w:proofErr w:type="spellStart"/>
      <w:r w:rsidR="00C45F53" w:rsidRPr="003A63AA">
        <w:rPr>
          <w:rFonts w:ascii="Arial" w:hAnsi="Arial" w:cs="Arial"/>
        </w:rPr>
        <w:t>Povidon</w:t>
      </w:r>
      <w:proofErr w:type="spellEnd"/>
      <w:r w:rsidR="00C45F53" w:rsidRPr="003A63AA">
        <w:rPr>
          <w:rFonts w:ascii="Arial" w:hAnsi="Arial" w:cs="Arial"/>
        </w:rPr>
        <w:t>-Iod</w:t>
      </w:r>
      <w:r w:rsidRPr="003A63AA">
        <w:rPr>
          <w:rFonts w:ascii="Arial" w:hAnsi="Arial" w:cs="Arial"/>
        </w:rPr>
        <w:t xml:space="preserve"> </w:t>
      </w:r>
      <w:r w:rsidR="00C45F53" w:rsidRPr="003A63AA">
        <w:rPr>
          <w:rFonts w:ascii="Arial" w:hAnsi="Arial" w:cs="Arial"/>
        </w:rPr>
        <w:t>(</w:t>
      </w:r>
      <w:r w:rsidR="00846C0E">
        <w:rPr>
          <w:rFonts w:ascii="Arial" w:hAnsi="Arial" w:cs="Arial"/>
        </w:rPr>
        <w:t>PVP-</w:t>
      </w:r>
      <w:r w:rsidR="00846C0E" w:rsidRPr="003A63AA">
        <w:rPr>
          <w:rFonts w:ascii="Arial" w:hAnsi="Arial" w:cs="Arial"/>
        </w:rPr>
        <w:t>I</w:t>
      </w:r>
      <w:r w:rsidR="00C45F53" w:rsidRPr="003A63AA">
        <w:rPr>
          <w:rFonts w:ascii="Arial" w:hAnsi="Arial" w:cs="Arial"/>
        </w:rPr>
        <w:t>)</w:t>
      </w:r>
      <w:r w:rsidR="00846C0E" w:rsidRPr="003A63AA">
        <w:rPr>
          <w:rFonts w:ascii="Arial" w:hAnsi="Arial" w:cs="Arial"/>
        </w:rPr>
        <w:t xml:space="preserve"> </w:t>
      </w:r>
      <w:r w:rsidR="00846C0E">
        <w:rPr>
          <w:rFonts w:ascii="Arial" w:hAnsi="Arial" w:cs="Arial"/>
        </w:rPr>
        <w:t>1 % w/v und verdünnt (PVP-I 0,5 % w/v)</w:t>
      </w:r>
      <w:r w:rsidRPr="004D0628">
        <w:rPr>
          <w:rFonts w:ascii="Arial" w:hAnsi="Arial" w:cs="Arial"/>
        </w:rPr>
        <w:t xml:space="preserve"> gegen SARS-CoV-2.</w:t>
      </w:r>
    </w:p>
    <w:p w14:paraId="706AA33B" w14:textId="77777777" w:rsidR="004D0628" w:rsidRPr="004D0628" w:rsidRDefault="004D0628" w:rsidP="008E622A">
      <w:pPr>
        <w:jc w:val="both"/>
        <w:rPr>
          <w:rFonts w:ascii="Arial" w:hAnsi="Arial" w:cs="Arial"/>
        </w:rPr>
      </w:pPr>
    </w:p>
    <w:p w14:paraId="4605123B" w14:textId="77777777" w:rsidR="004D0628" w:rsidRPr="004D0628" w:rsidRDefault="004D0628" w:rsidP="008E622A">
      <w:pPr>
        <w:jc w:val="both"/>
        <w:rPr>
          <w:rFonts w:ascii="Arial" w:hAnsi="Arial" w:cs="Arial"/>
          <w:b/>
          <w:bCs/>
        </w:rPr>
      </w:pPr>
      <w:r w:rsidRPr="004D0628">
        <w:rPr>
          <w:rFonts w:ascii="Arial" w:hAnsi="Arial" w:cs="Arial"/>
          <w:b/>
          <w:bCs/>
        </w:rPr>
        <w:t>Wie wurde getestet?</w:t>
      </w:r>
    </w:p>
    <w:p w14:paraId="4B994EC1" w14:textId="2BA33D15" w:rsidR="004D0628" w:rsidRPr="004D0628" w:rsidRDefault="005A1188" w:rsidP="008E622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zu testen, o</w:t>
      </w:r>
      <w:r w:rsidR="002A2174">
        <w:rPr>
          <w:rFonts w:ascii="Arial" w:hAnsi="Arial" w:cs="Arial"/>
        </w:rPr>
        <w:t>b und wie stark PVP-I die Aktivität von SARS-CoV-2 reduzieren kann</w:t>
      </w:r>
      <w:r>
        <w:rPr>
          <w:rFonts w:ascii="Arial" w:hAnsi="Arial" w:cs="Arial"/>
        </w:rPr>
        <w:t xml:space="preserve">, wurde </w:t>
      </w:r>
      <w:r w:rsidRPr="004D0628">
        <w:rPr>
          <w:rFonts w:ascii="Arial" w:hAnsi="Arial" w:cs="Arial"/>
        </w:rPr>
        <w:t>SARS-CoV-2 isoliert und in Vero-E6-Zellen im TIDREC vermehrt</w:t>
      </w:r>
      <w:r>
        <w:rPr>
          <w:rFonts w:ascii="Arial" w:hAnsi="Arial" w:cs="Arial"/>
        </w:rPr>
        <w:t>. Anschließend wurde</w:t>
      </w:r>
      <w:r w:rsidR="002A2174">
        <w:rPr>
          <w:rFonts w:ascii="Arial" w:hAnsi="Arial" w:cs="Arial"/>
        </w:rPr>
        <w:t xml:space="preserve"> </w:t>
      </w:r>
      <w:r w:rsidR="00484DA3" w:rsidRPr="004D0628">
        <w:rPr>
          <w:rFonts w:ascii="Arial" w:hAnsi="Arial" w:cs="Arial"/>
        </w:rPr>
        <w:t xml:space="preserve">PVP-I </w:t>
      </w:r>
      <w:r w:rsidR="004D0628" w:rsidRPr="004D0628">
        <w:rPr>
          <w:rFonts w:ascii="Arial" w:hAnsi="Arial" w:cs="Arial"/>
        </w:rPr>
        <w:t xml:space="preserve">unverdünnt </w:t>
      </w:r>
      <w:r w:rsidR="00484DA3">
        <w:rPr>
          <w:rFonts w:ascii="Arial" w:hAnsi="Arial" w:cs="Arial"/>
        </w:rPr>
        <w:t>(</w:t>
      </w:r>
      <w:r w:rsidR="004D0628" w:rsidRPr="004D0628">
        <w:rPr>
          <w:rFonts w:ascii="Arial" w:hAnsi="Arial" w:cs="Arial"/>
        </w:rPr>
        <w:t>1</w:t>
      </w:r>
      <w:r w:rsidR="00484DA3">
        <w:rPr>
          <w:rFonts w:ascii="Arial" w:hAnsi="Arial" w:cs="Arial"/>
        </w:rPr>
        <w:t xml:space="preserve"> </w:t>
      </w:r>
      <w:r w:rsidR="004D0628" w:rsidRPr="004D0628">
        <w:rPr>
          <w:rFonts w:ascii="Arial" w:hAnsi="Arial" w:cs="Arial"/>
        </w:rPr>
        <w:t xml:space="preserve">% </w:t>
      </w:r>
      <w:r w:rsidR="00484DA3">
        <w:rPr>
          <w:rFonts w:ascii="Arial" w:hAnsi="Arial" w:cs="Arial"/>
        </w:rPr>
        <w:t>w/v</w:t>
      </w:r>
      <w:r w:rsidR="004D0628" w:rsidRPr="004D0628">
        <w:rPr>
          <w:rFonts w:ascii="Arial" w:hAnsi="Arial" w:cs="Arial"/>
        </w:rPr>
        <w:t>) und bei einer 1:2-Verdünnung (PVP-I 0,5</w:t>
      </w:r>
      <w:r w:rsidR="00484DA3">
        <w:rPr>
          <w:rFonts w:ascii="Arial" w:hAnsi="Arial" w:cs="Arial"/>
        </w:rPr>
        <w:t xml:space="preserve"> </w:t>
      </w:r>
      <w:r w:rsidR="004D0628" w:rsidRPr="004D0628">
        <w:rPr>
          <w:rFonts w:ascii="Arial" w:hAnsi="Arial" w:cs="Arial"/>
        </w:rPr>
        <w:t>%) auf eine ≥4 log</w:t>
      </w:r>
      <w:r w:rsidR="004D0628" w:rsidRPr="00484DA3">
        <w:rPr>
          <w:rFonts w:ascii="Arial" w:hAnsi="Arial" w:cs="Arial"/>
          <w:vertAlign w:val="subscript"/>
        </w:rPr>
        <w:t>10</w:t>
      </w:r>
      <w:r w:rsidR="004D0628" w:rsidRPr="004D0628">
        <w:rPr>
          <w:rFonts w:ascii="Arial" w:hAnsi="Arial" w:cs="Arial"/>
        </w:rPr>
        <w:t>-Reduktion der Virustiter gegen SARS-CoV-2</w:t>
      </w:r>
      <w:r>
        <w:rPr>
          <w:rFonts w:ascii="Arial" w:hAnsi="Arial" w:cs="Arial"/>
        </w:rPr>
        <w:t xml:space="preserve"> getestet</w:t>
      </w:r>
      <w:r w:rsidR="00CD70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Dies erfolgte jeweils</w:t>
      </w:r>
      <w:r w:rsidR="004D0628" w:rsidRPr="004D0628">
        <w:rPr>
          <w:rFonts w:ascii="Arial" w:hAnsi="Arial" w:cs="Arial"/>
        </w:rPr>
        <w:t xml:space="preserve"> in sauberen (0,3 g/l Rinderserumalbumin BSA) und verunreinigten (3,0 g/l BSA + 3 </w:t>
      </w:r>
      <w:proofErr w:type="spellStart"/>
      <w:r w:rsidR="004D0628" w:rsidRPr="004D0628">
        <w:rPr>
          <w:rFonts w:ascii="Arial" w:hAnsi="Arial" w:cs="Arial"/>
        </w:rPr>
        <w:t>mL</w:t>
      </w:r>
      <w:proofErr w:type="spellEnd"/>
      <w:r w:rsidR="004D0628" w:rsidRPr="004D0628">
        <w:rPr>
          <w:rFonts w:ascii="Arial" w:hAnsi="Arial" w:cs="Arial"/>
        </w:rPr>
        <w:t xml:space="preserve">/L menschliche Erythrozyten) Bedingungen </w:t>
      </w:r>
      <w:r>
        <w:rPr>
          <w:rFonts w:ascii="Arial" w:hAnsi="Arial" w:cs="Arial"/>
        </w:rPr>
        <w:t>mit einer Einwirkzeit von</w:t>
      </w:r>
      <w:r w:rsidR="004D0628" w:rsidRPr="004D0628">
        <w:rPr>
          <w:rFonts w:ascii="Arial" w:hAnsi="Arial" w:cs="Arial"/>
        </w:rPr>
        <w:t xml:space="preserve"> 15, 30 und 60 Sekunden.</w:t>
      </w:r>
      <w:r>
        <w:rPr>
          <w:rFonts w:ascii="Arial" w:hAnsi="Arial" w:cs="Arial"/>
        </w:rPr>
        <w:t xml:space="preserve"> Die unsauberen Bedingungen </w:t>
      </w:r>
      <w:r w:rsidR="00DD2639">
        <w:rPr>
          <w:rFonts w:ascii="Arial" w:hAnsi="Arial" w:cs="Arial"/>
        </w:rPr>
        <w:t xml:space="preserve">sollten </w:t>
      </w:r>
      <w:r>
        <w:rPr>
          <w:rFonts w:ascii="Arial" w:hAnsi="Arial" w:cs="Arial"/>
        </w:rPr>
        <w:t xml:space="preserve">die </w:t>
      </w:r>
      <w:r w:rsidR="000E1BE4">
        <w:rPr>
          <w:rFonts w:ascii="Arial" w:hAnsi="Arial" w:cs="Arial"/>
        </w:rPr>
        <w:t>Verhältnisse</w:t>
      </w:r>
      <w:r>
        <w:rPr>
          <w:rFonts w:ascii="Arial" w:hAnsi="Arial" w:cs="Arial"/>
        </w:rPr>
        <w:t xml:space="preserve"> der Mundhöhle</w:t>
      </w:r>
      <w:r w:rsidR="00DD2639">
        <w:rPr>
          <w:rFonts w:ascii="Arial" w:hAnsi="Arial" w:cs="Arial"/>
        </w:rPr>
        <w:t xml:space="preserve"> simulieren</w:t>
      </w:r>
      <w:r>
        <w:rPr>
          <w:rFonts w:ascii="Arial" w:hAnsi="Arial" w:cs="Arial"/>
        </w:rPr>
        <w:t>.</w:t>
      </w:r>
    </w:p>
    <w:p w14:paraId="536F1C7A" w14:textId="77777777" w:rsidR="004D0628" w:rsidRPr="004D0628" w:rsidRDefault="00B44F88" w:rsidP="008E622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Auf Grundlage der etablierten Methodik nach EN14476 wurde der Grad der</w:t>
      </w:r>
      <w:r w:rsidR="000E1BE4">
        <w:rPr>
          <w:rFonts w:ascii="Arial" w:hAnsi="Arial" w:cs="Arial"/>
        </w:rPr>
        <w:t xml:space="preserve"> </w:t>
      </w:r>
      <w:r w:rsidR="004D0628" w:rsidRPr="004D0628">
        <w:rPr>
          <w:rFonts w:ascii="Arial" w:hAnsi="Arial" w:cs="Arial"/>
        </w:rPr>
        <w:t>Virus-</w:t>
      </w:r>
      <w:r w:rsidR="005A1188">
        <w:rPr>
          <w:rFonts w:ascii="Arial" w:hAnsi="Arial" w:cs="Arial"/>
        </w:rPr>
        <w:t>Inaktivierung</w:t>
      </w:r>
      <w:r w:rsidR="004D0628" w:rsidRPr="004D0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bewertet</w:t>
      </w:r>
      <w:r w:rsidR="004D0628" w:rsidRPr="004D0628">
        <w:rPr>
          <w:rFonts w:ascii="Arial" w:hAnsi="Arial" w:cs="Arial"/>
        </w:rPr>
        <w:t xml:space="preserve">. Die Virustiter </w:t>
      </w:r>
      <w:r w:rsidR="00671057">
        <w:rPr>
          <w:rFonts w:ascii="Arial" w:hAnsi="Arial" w:cs="Arial"/>
        </w:rPr>
        <w:t>berechneten die Studienautoren</w:t>
      </w:r>
      <w:r w:rsidR="004D0628" w:rsidRPr="004D0628">
        <w:rPr>
          <w:rFonts w:ascii="Arial" w:hAnsi="Arial" w:cs="Arial"/>
        </w:rPr>
        <w:t xml:space="preserve"> als 50%ige infektiöse Gewebskulturdosis (Tissue Culture </w:t>
      </w:r>
      <w:proofErr w:type="spellStart"/>
      <w:r w:rsidR="004D0628" w:rsidRPr="004D0628">
        <w:rPr>
          <w:rFonts w:ascii="Arial" w:hAnsi="Arial" w:cs="Arial"/>
        </w:rPr>
        <w:t>Infection</w:t>
      </w:r>
      <w:proofErr w:type="spellEnd"/>
      <w:r w:rsidR="004D0628" w:rsidRPr="004D0628">
        <w:rPr>
          <w:rFonts w:ascii="Arial" w:hAnsi="Arial" w:cs="Arial"/>
        </w:rPr>
        <w:t xml:space="preserve"> Dose TCID50/</w:t>
      </w:r>
      <w:proofErr w:type="spellStart"/>
      <w:r w:rsidR="004D0628" w:rsidRPr="004D0628">
        <w:rPr>
          <w:rFonts w:ascii="Arial" w:hAnsi="Arial" w:cs="Arial"/>
        </w:rPr>
        <w:t>mL</w:t>
      </w:r>
      <w:proofErr w:type="spellEnd"/>
      <w:r w:rsidR="004D0628" w:rsidRPr="004D0628">
        <w:rPr>
          <w:rFonts w:ascii="Arial" w:hAnsi="Arial" w:cs="Arial"/>
        </w:rPr>
        <w:t>) nach der Spearman-</w:t>
      </w:r>
      <w:proofErr w:type="spellStart"/>
      <w:r w:rsidR="004D0628" w:rsidRPr="004D0628">
        <w:rPr>
          <w:rFonts w:ascii="Arial" w:hAnsi="Arial" w:cs="Arial"/>
        </w:rPr>
        <w:t>Karber</w:t>
      </w:r>
      <w:proofErr w:type="spellEnd"/>
      <w:r w:rsidR="004D0628" w:rsidRPr="004D0628">
        <w:rPr>
          <w:rFonts w:ascii="Arial" w:hAnsi="Arial" w:cs="Arial"/>
        </w:rPr>
        <w:t>-Methode.</w:t>
      </w:r>
      <w:r w:rsidR="005A1188">
        <w:rPr>
          <w:rFonts w:ascii="Arial" w:hAnsi="Arial" w:cs="Arial"/>
        </w:rPr>
        <w:t xml:space="preserve"> </w:t>
      </w:r>
      <w:r w:rsidRPr="00B44F88">
        <w:rPr>
          <w:rFonts w:ascii="Arial" w:hAnsi="Arial" w:cs="Arial"/>
        </w:rPr>
        <w:t>Die eingesetzten PVP-I-Verdünnungen von 1 % und 0,5 % w/v lagen unter der vorher getesteten zytotoxischen Konzentrationsgrenze von PVP-I auf die Vero-E6-Zellen</w:t>
      </w:r>
      <w:r>
        <w:rPr>
          <w:rFonts w:ascii="Arial" w:hAnsi="Arial" w:cs="Arial"/>
        </w:rPr>
        <w:t>.</w:t>
      </w:r>
    </w:p>
    <w:p w14:paraId="68A45068" w14:textId="77777777" w:rsidR="004D0628" w:rsidRPr="004D0628" w:rsidRDefault="004D0628" w:rsidP="008E622A">
      <w:pPr>
        <w:jc w:val="both"/>
        <w:rPr>
          <w:rFonts w:ascii="Arial" w:hAnsi="Arial" w:cs="Arial"/>
        </w:rPr>
      </w:pPr>
    </w:p>
    <w:p w14:paraId="02AD88B1" w14:textId="77777777" w:rsidR="004D0628" w:rsidRPr="004D0628" w:rsidRDefault="004D0628" w:rsidP="008E622A">
      <w:pPr>
        <w:jc w:val="both"/>
        <w:rPr>
          <w:rFonts w:ascii="Arial" w:hAnsi="Arial" w:cs="Arial"/>
          <w:b/>
          <w:bCs/>
        </w:rPr>
      </w:pPr>
      <w:r w:rsidRPr="004D0628">
        <w:rPr>
          <w:rFonts w:ascii="Arial" w:hAnsi="Arial" w:cs="Arial"/>
          <w:b/>
          <w:bCs/>
        </w:rPr>
        <w:t>Wa</w:t>
      </w:r>
      <w:r w:rsidR="003A63AA">
        <w:rPr>
          <w:rFonts w:ascii="Arial" w:hAnsi="Arial" w:cs="Arial"/>
          <w:b/>
          <w:bCs/>
        </w:rPr>
        <w:t>s</w:t>
      </w:r>
      <w:r w:rsidR="00C45F53" w:rsidRPr="003A63AA">
        <w:rPr>
          <w:rFonts w:ascii="Arial" w:hAnsi="Arial" w:cs="Arial"/>
          <w:b/>
          <w:bCs/>
        </w:rPr>
        <w:t xml:space="preserve"> sind</w:t>
      </w:r>
      <w:r w:rsidRPr="003A63AA">
        <w:rPr>
          <w:rFonts w:ascii="Arial" w:hAnsi="Arial" w:cs="Arial"/>
          <w:b/>
          <w:bCs/>
        </w:rPr>
        <w:t xml:space="preserve"> </w:t>
      </w:r>
      <w:r w:rsidRPr="004D0628">
        <w:rPr>
          <w:rFonts w:ascii="Arial" w:hAnsi="Arial" w:cs="Arial"/>
          <w:b/>
          <w:bCs/>
        </w:rPr>
        <w:t>die Ergebnisse?</w:t>
      </w:r>
      <w:r w:rsidRPr="004D0628">
        <w:rPr>
          <w:rFonts w:ascii="Arial" w:hAnsi="Arial" w:cs="Arial"/>
          <w:b/>
          <w:bCs/>
        </w:rPr>
        <w:tab/>
      </w:r>
      <w:r w:rsidRPr="004D0628">
        <w:rPr>
          <w:rFonts w:ascii="Arial" w:hAnsi="Arial" w:cs="Arial"/>
          <w:b/>
          <w:bCs/>
        </w:rPr>
        <w:tab/>
      </w:r>
      <w:r w:rsidRPr="004D0628">
        <w:rPr>
          <w:rFonts w:ascii="Arial" w:hAnsi="Arial" w:cs="Arial"/>
          <w:b/>
          <w:bCs/>
        </w:rPr>
        <w:tab/>
      </w:r>
    </w:p>
    <w:p w14:paraId="566198C9" w14:textId="2FD5F955" w:rsidR="004D0628" w:rsidRDefault="004D0628" w:rsidP="008E622A">
      <w:pPr>
        <w:spacing w:after="120" w:line="360" w:lineRule="auto"/>
        <w:jc w:val="both"/>
        <w:rPr>
          <w:rFonts w:ascii="Arial" w:hAnsi="Arial" w:cs="Arial"/>
        </w:rPr>
      </w:pPr>
      <w:r w:rsidRPr="004D0628">
        <w:rPr>
          <w:rFonts w:ascii="Arial" w:hAnsi="Arial" w:cs="Arial"/>
        </w:rPr>
        <w:t>Die Studie zeigt, dass unverdünntes PVP-I</w:t>
      </w:r>
      <w:r w:rsidR="00BB02EB">
        <w:rPr>
          <w:rFonts w:ascii="Arial" w:hAnsi="Arial" w:cs="Arial"/>
        </w:rPr>
        <w:t xml:space="preserve"> (1 % w/v) </w:t>
      </w:r>
      <w:r w:rsidR="00C45F53" w:rsidRPr="003A63AA">
        <w:rPr>
          <w:rFonts w:ascii="Arial" w:hAnsi="Arial" w:cs="Arial"/>
        </w:rPr>
        <w:t xml:space="preserve">den </w:t>
      </w:r>
      <w:r w:rsidRPr="004D0628">
        <w:rPr>
          <w:rFonts w:ascii="Arial" w:hAnsi="Arial" w:cs="Arial"/>
        </w:rPr>
        <w:t xml:space="preserve">Virustiter bei 15, 30 und 60 Sekunden Behandlungsexposition </w:t>
      </w:r>
      <w:r w:rsidR="00CD70B7" w:rsidRPr="004D0628">
        <w:rPr>
          <w:rFonts w:ascii="Arial" w:hAnsi="Arial" w:cs="Arial"/>
        </w:rPr>
        <w:t>um &gt;5 log</w:t>
      </w:r>
      <w:r w:rsidR="00CD70B7" w:rsidRPr="00484DA3">
        <w:rPr>
          <w:rFonts w:ascii="Arial" w:hAnsi="Arial" w:cs="Arial"/>
          <w:vertAlign w:val="subscript"/>
        </w:rPr>
        <w:t>10</w:t>
      </w:r>
      <w:r w:rsidR="00CD70B7" w:rsidRPr="004D0628">
        <w:rPr>
          <w:rFonts w:ascii="Arial" w:hAnsi="Arial" w:cs="Arial"/>
        </w:rPr>
        <w:t xml:space="preserve"> </w:t>
      </w:r>
      <w:r w:rsidR="00CD70B7">
        <w:rPr>
          <w:rFonts w:ascii="Arial" w:hAnsi="Arial" w:cs="Arial"/>
        </w:rPr>
        <w:t>reduziert</w:t>
      </w:r>
      <w:r w:rsidR="00BB02EB">
        <w:rPr>
          <w:rFonts w:ascii="Arial" w:hAnsi="Arial" w:cs="Arial"/>
        </w:rPr>
        <w:t xml:space="preserve"> </w:t>
      </w:r>
      <w:r w:rsidR="00484DA3">
        <w:rPr>
          <w:rFonts w:ascii="Arial" w:hAnsi="Arial" w:cs="Arial"/>
        </w:rPr>
        <w:t xml:space="preserve">– </w:t>
      </w:r>
      <w:r w:rsidRPr="004D0628">
        <w:rPr>
          <w:rFonts w:ascii="Arial" w:hAnsi="Arial" w:cs="Arial"/>
        </w:rPr>
        <w:t>sowohl</w:t>
      </w:r>
      <w:r w:rsidR="00484DA3">
        <w:rPr>
          <w:rFonts w:ascii="Arial" w:hAnsi="Arial" w:cs="Arial"/>
        </w:rPr>
        <w:t xml:space="preserve"> </w:t>
      </w:r>
      <w:r w:rsidRPr="004D0628">
        <w:rPr>
          <w:rFonts w:ascii="Arial" w:hAnsi="Arial" w:cs="Arial"/>
        </w:rPr>
        <w:t xml:space="preserve">unter sauberen als auch verunreinigten Bedingungen. </w:t>
      </w:r>
      <w:r w:rsidR="00671057">
        <w:rPr>
          <w:rFonts w:ascii="Arial" w:hAnsi="Arial" w:cs="Arial"/>
        </w:rPr>
        <w:t>Der Test</w:t>
      </w:r>
      <w:r w:rsidRPr="004D0628">
        <w:rPr>
          <w:rFonts w:ascii="Arial" w:hAnsi="Arial" w:cs="Arial"/>
        </w:rPr>
        <w:t xml:space="preserve"> von PVP-I bei einer Verdünnung von 1:2 </w:t>
      </w:r>
      <w:r w:rsidR="00671057">
        <w:rPr>
          <w:rFonts w:ascii="Arial" w:hAnsi="Arial" w:cs="Arial"/>
        </w:rPr>
        <w:t xml:space="preserve">ergab </w:t>
      </w:r>
      <w:r w:rsidRPr="004D0628">
        <w:rPr>
          <w:rFonts w:ascii="Arial" w:hAnsi="Arial" w:cs="Arial"/>
        </w:rPr>
        <w:t>im Vergleich zur Kontrolle eine &gt;4 log</w:t>
      </w:r>
      <w:r w:rsidRPr="00C11CC3">
        <w:rPr>
          <w:rFonts w:ascii="Arial" w:hAnsi="Arial" w:cs="Arial"/>
          <w:vertAlign w:val="subscript"/>
        </w:rPr>
        <w:t>10</w:t>
      </w:r>
      <w:r w:rsidRPr="004D0628">
        <w:rPr>
          <w:rFonts w:ascii="Arial" w:hAnsi="Arial" w:cs="Arial"/>
        </w:rPr>
        <w:t>-</w:t>
      </w:r>
      <w:r w:rsidR="000E1BE4">
        <w:rPr>
          <w:rFonts w:ascii="Arial" w:hAnsi="Arial" w:cs="Arial"/>
        </w:rPr>
        <w:t>Inaktivierung</w:t>
      </w:r>
      <w:r w:rsidRPr="004D0628">
        <w:rPr>
          <w:rFonts w:ascii="Arial" w:hAnsi="Arial" w:cs="Arial"/>
        </w:rPr>
        <w:t xml:space="preserve"> bei 15 Sekunden und &gt;5 log</w:t>
      </w:r>
      <w:r w:rsidRPr="00C11CC3">
        <w:rPr>
          <w:rFonts w:ascii="Arial" w:hAnsi="Arial" w:cs="Arial"/>
          <w:vertAlign w:val="subscript"/>
        </w:rPr>
        <w:t>10</w:t>
      </w:r>
      <w:r w:rsidRPr="004D0628">
        <w:rPr>
          <w:rFonts w:ascii="Arial" w:hAnsi="Arial" w:cs="Arial"/>
        </w:rPr>
        <w:t>-</w:t>
      </w:r>
      <w:r w:rsidR="000E1BE4">
        <w:rPr>
          <w:rFonts w:ascii="Arial" w:hAnsi="Arial" w:cs="Arial"/>
        </w:rPr>
        <w:t>Inaktivierung</w:t>
      </w:r>
      <w:r w:rsidRPr="004D0628">
        <w:rPr>
          <w:rFonts w:ascii="Arial" w:hAnsi="Arial" w:cs="Arial"/>
        </w:rPr>
        <w:t xml:space="preserve"> bei 30 und 60 Sekunden unter sauberen </w:t>
      </w:r>
      <w:r w:rsidR="00CD70B7">
        <w:rPr>
          <w:rFonts w:ascii="Arial" w:hAnsi="Arial" w:cs="Arial"/>
        </w:rPr>
        <w:t>und</w:t>
      </w:r>
      <w:r w:rsidRPr="004D0628">
        <w:rPr>
          <w:rFonts w:ascii="Arial" w:hAnsi="Arial" w:cs="Arial"/>
        </w:rPr>
        <w:t xml:space="preserve"> verunreinigten Bedingungen.</w:t>
      </w:r>
    </w:p>
    <w:p w14:paraId="3ECAF743" w14:textId="77777777" w:rsidR="008E622A" w:rsidRPr="004D0628" w:rsidRDefault="008E622A" w:rsidP="008E622A">
      <w:pPr>
        <w:spacing w:after="120" w:line="360" w:lineRule="auto"/>
        <w:jc w:val="both"/>
        <w:rPr>
          <w:rFonts w:ascii="Arial" w:hAnsi="Arial" w:cs="Arial"/>
        </w:rPr>
      </w:pPr>
    </w:p>
    <w:p w14:paraId="792F307C" w14:textId="77777777" w:rsidR="004D0628" w:rsidRPr="004D0628" w:rsidRDefault="004D0628" w:rsidP="008E622A">
      <w:pPr>
        <w:jc w:val="both"/>
        <w:rPr>
          <w:rFonts w:ascii="Arial" w:hAnsi="Arial" w:cs="Arial"/>
          <w:b/>
          <w:bCs/>
        </w:rPr>
      </w:pPr>
      <w:r w:rsidRPr="004D0628">
        <w:rPr>
          <w:rFonts w:ascii="Arial" w:hAnsi="Arial" w:cs="Arial"/>
          <w:b/>
          <w:bCs/>
        </w:rPr>
        <w:lastRenderedPageBreak/>
        <w:t>Welche Schlüsse können daraus gezogen werden?</w:t>
      </w:r>
    </w:p>
    <w:p w14:paraId="2263F13F" w14:textId="77777777" w:rsidR="004D0628" w:rsidRPr="008F5E14" w:rsidRDefault="004D0628" w:rsidP="008E622A">
      <w:pPr>
        <w:spacing w:after="120" w:line="360" w:lineRule="auto"/>
        <w:jc w:val="both"/>
        <w:rPr>
          <w:rFonts w:ascii="Arial" w:hAnsi="Arial" w:cs="Arial"/>
        </w:rPr>
      </w:pPr>
      <w:r w:rsidRPr="008F5E14">
        <w:rPr>
          <w:rFonts w:ascii="Arial" w:hAnsi="Arial" w:cs="Arial"/>
        </w:rPr>
        <w:t xml:space="preserve">Die Studie liefert die direkte Evidenz </w:t>
      </w:r>
      <w:r w:rsidR="000E1BE4">
        <w:rPr>
          <w:rFonts w:ascii="Arial" w:hAnsi="Arial" w:cs="Arial"/>
        </w:rPr>
        <w:t>da</w:t>
      </w:r>
      <w:r w:rsidRPr="008F5E14">
        <w:rPr>
          <w:rFonts w:ascii="Arial" w:hAnsi="Arial" w:cs="Arial"/>
        </w:rPr>
        <w:t>für</w:t>
      </w:r>
      <w:r w:rsidR="000E1BE4">
        <w:rPr>
          <w:rFonts w:ascii="Arial" w:hAnsi="Arial" w:cs="Arial"/>
        </w:rPr>
        <w:t xml:space="preserve">, dass </w:t>
      </w:r>
      <w:proofErr w:type="spellStart"/>
      <w:r w:rsidRPr="008F5E14">
        <w:rPr>
          <w:rFonts w:ascii="Arial" w:hAnsi="Arial" w:cs="Arial"/>
        </w:rPr>
        <w:t>Providon</w:t>
      </w:r>
      <w:proofErr w:type="spellEnd"/>
      <w:r w:rsidRPr="008F5E14">
        <w:rPr>
          <w:rFonts w:ascii="Arial" w:hAnsi="Arial" w:cs="Arial"/>
        </w:rPr>
        <w:t>-Io</w:t>
      </w:r>
      <w:r w:rsidR="003A63AA">
        <w:rPr>
          <w:rFonts w:ascii="Arial" w:hAnsi="Arial" w:cs="Arial"/>
        </w:rPr>
        <w:t xml:space="preserve">d </w:t>
      </w:r>
      <w:r w:rsidR="000E1BE4">
        <w:rPr>
          <w:rFonts w:ascii="Arial" w:hAnsi="Arial" w:cs="Arial"/>
        </w:rPr>
        <w:t xml:space="preserve">die </w:t>
      </w:r>
      <w:r w:rsidR="000E1BE4" w:rsidRPr="008F5E14">
        <w:rPr>
          <w:rFonts w:ascii="Arial" w:hAnsi="Arial" w:cs="Arial"/>
        </w:rPr>
        <w:t xml:space="preserve">Aktivität </w:t>
      </w:r>
      <w:r w:rsidR="000E1BE4" w:rsidRPr="003A63AA">
        <w:rPr>
          <w:rFonts w:ascii="Arial" w:hAnsi="Arial" w:cs="Arial"/>
        </w:rPr>
        <w:t>von</w:t>
      </w:r>
      <w:r w:rsidR="000E1BE4" w:rsidRPr="008F5E14">
        <w:rPr>
          <w:rFonts w:ascii="Arial" w:hAnsi="Arial" w:cs="Arial"/>
        </w:rPr>
        <w:t xml:space="preserve"> </w:t>
      </w:r>
      <w:r w:rsidRPr="008F5E14">
        <w:rPr>
          <w:rFonts w:ascii="Arial" w:hAnsi="Arial" w:cs="Arial"/>
        </w:rPr>
        <w:t>SARS-CoV-2 in nur 15 Sekunden</w:t>
      </w:r>
      <w:r w:rsidR="000E1BE4">
        <w:rPr>
          <w:rFonts w:ascii="Arial" w:hAnsi="Arial" w:cs="Arial"/>
        </w:rPr>
        <w:t xml:space="preserve"> effektiv reduziert</w:t>
      </w:r>
      <w:r w:rsidRPr="008F5E14">
        <w:rPr>
          <w:rFonts w:ascii="Arial" w:hAnsi="Arial" w:cs="Arial"/>
        </w:rPr>
        <w:t xml:space="preserve">. </w:t>
      </w:r>
      <w:r w:rsidR="000E1BE4">
        <w:rPr>
          <w:rFonts w:ascii="Arial" w:hAnsi="Arial" w:cs="Arial"/>
        </w:rPr>
        <w:t>Die Studienautoren empfehlen daher i</w:t>
      </w:r>
      <w:r w:rsidRPr="008F5E14">
        <w:rPr>
          <w:rFonts w:ascii="Arial" w:hAnsi="Arial" w:cs="Arial"/>
        </w:rPr>
        <w:t xml:space="preserve">n der aktuellen Situation </w:t>
      </w:r>
      <w:r w:rsidR="000E1BE4">
        <w:rPr>
          <w:rFonts w:ascii="Arial" w:hAnsi="Arial" w:cs="Arial"/>
        </w:rPr>
        <w:t>die einmalige Anwendung von</w:t>
      </w:r>
      <w:r w:rsidRPr="008F5E14">
        <w:rPr>
          <w:rFonts w:ascii="Arial" w:hAnsi="Arial" w:cs="Arial"/>
        </w:rPr>
        <w:t xml:space="preserve"> </w:t>
      </w:r>
      <w:r w:rsidR="00BB02EB">
        <w:rPr>
          <w:rFonts w:ascii="Arial" w:hAnsi="Arial" w:cs="Arial"/>
        </w:rPr>
        <w:t xml:space="preserve">PVP-I-haltigen </w:t>
      </w:r>
      <w:r w:rsidRPr="008F5E14">
        <w:rPr>
          <w:rFonts w:ascii="Arial" w:hAnsi="Arial" w:cs="Arial"/>
        </w:rPr>
        <w:t xml:space="preserve">Mundantiseptika </w:t>
      </w:r>
      <w:r w:rsidR="000E1BE4">
        <w:rPr>
          <w:rFonts w:ascii="Arial" w:hAnsi="Arial" w:cs="Arial"/>
        </w:rPr>
        <w:t xml:space="preserve">vor operativen Eingriffen im Mundraum und bei der Behandlung in der </w:t>
      </w:r>
      <w:r w:rsidR="001151FC">
        <w:rPr>
          <w:rFonts w:ascii="Arial" w:hAnsi="Arial" w:cs="Arial"/>
        </w:rPr>
        <w:t>Zahnarztpra</w:t>
      </w:r>
      <w:r w:rsidR="00CD70B7">
        <w:rPr>
          <w:rFonts w:ascii="Arial" w:hAnsi="Arial" w:cs="Arial"/>
        </w:rPr>
        <w:t>xis</w:t>
      </w:r>
      <w:r w:rsidR="000E1BE4">
        <w:rPr>
          <w:rFonts w:ascii="Arial" w:hAnsi="Arial" w:cs="Arial"/>
        </w:rPr>
        <w:t xml:space="preserve">. </w:t>
      </w:r>
      <w:r w:rsidR="00CD70B7">
        <w:rPr>
          <w:rFonts w:ascii="Arial" w:hAnsi="Arial" w:cs="Arial"/>
        </w:rPr>
        <w:t>Als zusätzliche Maßnahme kann dies</w:t>
      </w:r>
      <w:r w:rsidR="00BB02EB">
        <w:rPr>
          <w:rFonts w:ascii="Arial" w:hAnsi="Arial" w:cs="Arial"/>
        </w:rPr>
        <w:t>, so die Autoren,</w:t>
      </w:r>
      <w:r w:rsidR="00CD70B7">
        <w:rPr>
          <w:rFonts w:ascii="Arial" w:hAnsi="Arial" w:cs="Arial"/>
        </w:rPr>
        <w:t xml:space="preserve"> den</w:t>
      </w:r>
      <w:r w:rsidR="000E1BE4">
        <w:rPr>
          <w:rFonts w:ascii="Arial" w:hAnsi="Arial" w:cs="Arial"/>
        </w:rPr>
        <w:t xml:space="preserve"> Schutz des zahnmedizinischen Personals vor einer</w:t>
      </w:r>
      <w:r w:rsidR="008F5E14" w:rsidRPr="008F5E14">
        <w:rPr>
          <w:rFonts w:ascii="Arial" w:hAnsi="Arial" w:cs="Arial"/>
        </w:rPr>
        <w:t xml:space="preserve"> COVID-19-Übertragung</w:t>
      </w:r>
      <w:r w:rsidR="00CD70B7">
        <w:rPr>
          <w:rFonts w:ascii="Arial" w:hAnsi="Arial" w:cs="Arial"/>
        </w:rPr>
        <w:t xml:space="preserve"> erhöhen</w:t>
      </w:r>
      <w:r w:rsidRPr="008F5E14">
        <w:rPr>
          <w:rFonts w:ascii="Arial" w:hAnsi="Arial" w:cs="Arial"/>
        </w:rPr>
        <w:t xml:space="preserve">. </w:t>
      </w:r>
    </w:p>
    <w:p w14:paraId="6F2ABC73" w14:textId="05C305FA" w:rsidR="004D0628" w:rsidRPr="00B85FE8" w:rsidRDefault="004D0628" w:rsidP="008E622A">
      <w:pPr>
        <w:spacing w:after="120" w:line="360" w:lineRule="auto"/>
        <w:jc w:val="both"/>
        <w:rPr>
          <w:rFonts w:ascii="Arial" w:hAnsi="Arial" w:cs="Arial"/>
        </w:rPr>
      </w:pPr>
    </w:p>
    <w:p w14:paraId="580F2F6B" w14:textId="599AF57C" w:rsidR="00B85FE8" w:rsidRPr="00B85FE8" w:rsidRDefault="00B85FE8" w:rsidP="008E622A">
      <w:pPr>
        <w:spacing w:after="12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E909C2E" w14:textId="77777777" w:rsidR="00B85FE8" w:rsidRPr="00B85FE8" w:rsidRDefault="00B85FE8" w:rsidP="008E622A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85FE8">
        <w:rPr>
          <w:rFonts w:ascii="Arial" w:hAnsi="Arial" w:cs="Arial"/>
          <w:b/>
          <w:bCs/>
          <w:sz w:val="18"/>
          <w:szCs w:val="18"/>
        </w:rPr>
        <w:t>Pflichttext für Fachkreise</w:t>
      </w:r>
    </w:p>
    <w:p w14:paraId="11E8A68F" w14:textId="77777777" w:rsidR="00B85FE8" w:rsidRPr="00B85FE8" w:rsidRDefault="00B85FE8" w:rsidP="008E622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B85FE8">
        <w:rPr>
          <w:rFonts w:ascii="Arial" w:hAnsi="Arial" w:cs="Arial"/>
          <w:b/>
          <w:bCs/>
          <w:sz w:val="16"/>
          <w:szCs w:val="16"/>
        </w:rPr>
        <w:t>Betaisodona</w:t>
      </w:r>
      <w:proofErr w:type="spellEnd"/>
      <w:r w:rsidRPr="00B85FE8">
        <w:rPr>
          <w:rFonts w:ascii="Arial" w:hAnsi="Arial" w:cs="Arial"/>
          <w:b/>
          <w:bCs/>
          <w:sz w:val="16"/>
          <w:szCs w:val="16"/>
        </w:rPr>
        <w:t xml:space="preserve">® Mund-Antiseptikum 75 mg/ml. </w:t>
      </w:r>
      <w:r w:rsidRPr="00B85FE8">
        <w:rPr>
          <w:rFonts w:ascii="Arial" w:hAnsi="Arial" w:cs="Arial"/>
          <w:sz w:val="16"/>
          <w:szCs w:val="16"/>
        </w:rPr>
        <w:t xml:space="preserve">Lösung zur Anwendung in der </w:t>
      </w:r>
      <w:proofErr w:type="spellStart"/>
      <w:r w:rsidRPr="00B85FE8">
        <w:rPr>
          <w:rFonts w:ascii="Arial" w:hAnsi="Arial" w:cs="Arial"/>
          <w:sz w:val="16"/>
          <w:szCs w:val="16"/>
        </w:rPr>
        <w:t>Mundhöhle.</w:t>
      </w:r>
      <w:r w:rsidRPr="00B85FE8">
        <w:rPr>
          <w:rFonts w:ascii="Arial" w:hAnsi="Arial" w:cs="Arial"/>
          <w:b/>
          <w:bCs/>
          <w:sz w:val="16"/>
          <w:szCs w:val="16"/>
        </w:rPr>
        <w:t>Wirkstoff</w:t>
      </w:r>
      <w:proofErr w:type="spellEnd"/>
      <w:r w:rsidRPr="00B85FE8">
        <w:rPr>
          <w:rFonts w:ascii="Arial" w:hAnsi="Arial" w:cs="Arial"/>
          <w:b/>
          <w:bCs/>
          <w:sz w:val="16"/>
          <w:szCs w:val="16"/>
        </w:rPr>
        <w:t>:</w:t>
      </w:r>
      <w:r w:rsidRPr="00B85F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85FE8">
        <w:rPr>
          <w:rFonts w:ascii="Arial" w:hAnsi="Arial" w:cs="Arial"/>
          <w:sz w:val="16"/>
          <w:szCs w:val="16"/>
        </w:rPr>
        <w:t>Povidon</w:t>
      </w:r>
      <w:proofErr w:type="spellEnd"/>
      <w:r w:rsidRPr="00B85FE8">
        <w:rPr>
          <w:rFonts w:ascii="Arial" w:hAnsi="Arial" w:cs="Arial"/>
          <w:sz w:val="16"/>
          <w:szCs w:val="16"/>
        </w:rPr>
        <w:t xml:space="preserve">-Iod (PVP-Iod). Apothekenpflichtig. </w:t>
      </w:r>
      <w:r w:rsidRPr="00B85FE8">
        <w:rPr>
          <w:rFonts w:ascii="Arial" w:hAnsi="Arial" w:cs="Arial"/>
          <w:b/>
          <w:bCs/>
          <w:sz w:val="16"/>
          <w:szCs w:val="16"/>
        </w:rPr>
        <w:t>Zusammensetzung:</w:t>
      </w:r>
      <w:r w:rsidRPr="00B85FE8">
        <w:rPr>
          <w:rFonts w:ascii="Arial" w:hAnsi="Arial" w:cs="Arial"/>
          <w:sz w:val="16"/>
          <w:szCs w:val="16"/>
        </w:rPr>
        <w:t xml:space="preserve"> 1 ml </w:t>
      </w:r>
      <w:proofErr w:type="spellStart"/>
      <w:r w:rsidRPr="00B85FE8">
        <w:rPr>
          <w:rFonts w:ascii="Arial" w:hAnsi="Arial" w:cs="Arial"/>
          <w:sz w:val="16"/>
          <w:szCs w:val="16"/>
        </w:rPr>
        <w:t>Betaisodona</w:t>
      </w:r>
      <w:proofErr w:type="spellEnd"/>
      <w:r w:rsidRPr="00B85FE8">
        <w:rPr>
          <w:rFonts w:ascii="Arial" w:hAnsi="Arial" w:cs="Arial"/>
          <w:sz w:val="16"/>
          <w:szCs w:val="16"/>
        </w:rPr>
        <w:t xml:space="preserve">® Mund-Antiseptikum enthält 75 mg </w:t>
      </w:r>
      <w:proofErr w:type="spellStart"/>
      <w:r w:rsidRPr="00B85FE8">
        <w:rPr>
          <w:rFonts w:ascii="Arial" w:hAnsi="Arial" w:cs="Arial"/>
          <w:sz w:val="16"/>
          <w:szCs w:val="16"/>
        </w:rPr>
        <w:t>Povidon</w:t>
      </w:r>
      <w:proofErr w:type="spellEnd"/>
      <w:r w:rsidRPr="00B85FE8">
        <w:rPr>
          <w:rFonts w:ascii="Arial" w:hAnsi="Arial" w:cs="Arial"/>
          <w:sz w:val="16"/>
          <w:szCs w:val="16"/>
        </w:rPr>
        <w:t xml:space="preserve">-Iod mit einem Gehalt von 10 % verfügbarem Iod, mittleres Molekulargewicht von </w:t>
      </w:r>
      <w:proofErr w:type="spellStart"/>
      <w:r w:rsidRPr="00B85FE8">
        <w:rPr>
          <w:rFonts w:ascii="Arial" w:hAnsi="Arial" w:cs="Arial"/>
          <w:sz w:val="16"/>
          <w:szCs w:val="16"/>
        </w:rPr>
        <w:t>Povidon</w:t>
      </w:r>
      <w:proofErr w:type="spellEnd"/>
      <w:r w:rsidRPr="00B85FE8">
        <w:rPr>
          <w:rFonts w:ascii="Arial" w:hAnsi="Arial" w:cs="Arial"/>
          <w:sz w:val="16"/>
          <w:szCs w:val="16"/>
        </w:rPr>
        <w:t xml:space="preserve"> etwa 40.000. Sonstige Bestandteile: Ethanol 96 %, </w:t>
      </w:r>
      <w:proofErr w:type="spellStart"/>
      <w:r w:rsidRPr="00B85FE8">
        <w:rPr>
          <w:rFonts w:ascii="Arial" w:hAnsi="Arial" w:cs="Arial"/>
          <w:sz w:val="16"/>
          <w:szCs w:val="16"/>
        </w:rPr>
        <w:t>Levomenthol</w:t>
      </w:r>
      <w:proofErr w:type="spellEnd"/>
      <w:r w:rsidRPr="00B85FE8">
        <w:rPr>
          <w:rFonts w:ascii="Arial" w:hAnsi="Arial" w:cs="Arial"/>
          <w:sz w:val="16"/>
          <w:szCs w:val="16"/>
        </w:rPr>
        <w:t>, Methylsalicylat (</w:t>
      </w:r>
      <w:proofErr w:type="spellStart"/>
      <w:r w:rsidRPr="00B85FE8">
        <w:rPr>
          <w:rFonts w:ascii="Arial" w:hAnsi="Arial" w:cs="Arial"/>
          <w:sz w:val="16"/>
          <w:szCs w:val="16"/>
        </w:rPr>
        <w:t>Ph.Eur</w:t>
      </w:r>
      <w:proofErr w:type="spellEnd"/>
      <w:r w:rsidRPr="00B85FE8">
        <w:rPr>
          <w:rFonts w:ascii="Arial" w:hAnsi="Arial" w:cs="Arial"/>
          <w:sz w:val="16"/>
          <w:szCs w:val="16"/>
        </w:rPr>
        <w:t xml:space="preserve">.), Glycerol, Saccharin-Natrium 2 H2O, Dinatriumhydrogenphosphat, wasserfreie Citronensäure, Natriumhydroxid, gereinigtes Wasser. </w:t>
      </w:r>
      <w:r w:rsidRPr="00B85FE8">
        <w:rPr>
          <w:rFonts w:ascii="Arial" w:hAnsi="Arial" w:cs="Arial"/>
          <w:b/>
          <w:bCs/>
          <w:sz w:val="16"/>
          <w:szCs w:val="16"/>
        </w:rPr>
        <w:t>Anwendungsgebiete:</w:t>
      </w:r>
      <w:r w:rsidRPr="00B85FE8">
        <w:rPr>
          <w:rFonts w:ascii="Arial" w:hAnsi="Arial" w:cs="Arial"/>
          <w:sz w:val="16"/>
          <w:szCs w:val="16"/>
        </w:rPr>
        <w:t xml:space="preserve"> Zur einmaligen antiseptischen Behandlung der Mundschleimhaut (z. B. vor operativen Eingriffen und Prophylaxe lokaler Wundinfektionen), bei Endokarditis-gefährdeten Pat. Zur wiederholten, zeitlich begrenzten Prophylaxe der strahlenbedingten Mukositis bei Patienten unter Radio- bzw. Radiochemotherapie. </w:t>
      </w:r>
      <w:r w:rsidRPr="00B85FE8">
        <w:rPr>
          <w:rFonts w:ascii="Arial" w:hAnsi="Arial" w:cs="Arial"/>
          <w:b/>
          <w:bCs/>
          <w:sz w:val="16"/>
          <w:szCs w:val="16"/>
        </w:rPr>
        <w:t>Gegenanzeigen:</w:t>
      </w:r>
      <w:r w:rsidRPr="00B85FE8">
        <w:rPr>
          <w:rFonts w:ascii="Arial" w:hAnsi="Arial" w:cs="Arial"/>
          <w:sz w:val="16"/>
          <w:szCs w:val="16"/>
        </w:rPr>
        <w:t xml:space="preserve"> Nicht anwenden bei Kindern unter 6 Jahren, Hyperthyreose, manifesten Schilddrüsenerkrankungen, Dermatitis </w:t>
      </w:r>
      <w:proofErr w:type="spellStart"/>
      <w:r w:rsidRPr="00B85FE8">
        <w:rPr>
          <w:rFonts w:ascii="Arial" w:hAnsi="Arial" w:cs="Arial"/>
          <w:sz w:val="16"/>
          <w:szCs w:val="16"/>
        </w:rPr>
        <w:t>herpetiformis</w:t>
      </w:r>
      <w:proofErr w:type="spellEnd"/>
      <w:r w:rsidRPr="00B85F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85FE8">
        <w:rPr>
          <w:rFonts w:ascii="Arial" w:hAnsi="Arial" w:cs="Arial"/>
          <w:sz w:val="16"/>
          <w:szCs w:val="16"/>
        </w:rPr>
        <w:t>Duhring</w:t>
      </w:r>
      <w:proofErr w:type="spellEnd"/>
      <w:r w:rsidRPr="00B85FE8">
        <w:rPr>
          <w:rFonts w:ascii="Arial" w:hAnsi="Arial" w:cs="Arial"/>
          <w:sz w:val="16"/>
          <w:szCs w:val="16"/>
        </w:rPr>
        <w:t xml:space="preserve">, vor und nach einer Radio-Iod-Anwendung (bis zum Abschluss der Behandlung), Überempfindlichkeit gegen Iod oder einen der sonstigen Bestandteile des Arzneimittels. </w:t>
      </w:r>
      <w:r w:rsidRPr="00B85FE8">
        <w:rPr>
          <w:rFonts w:ascii="Arial" w:hAnsi="Arial" w:cs="Arial"/>
          <w:b/>
          <w:bCs/>
          <w:sz w:val="16"/>
          <w:szCs w:val="16"/>
        </w:rPr>
        <w:t>Nebenwirkungen:</w:t>
      </w:r>
      <w:r w:rsidRPr="00B85FE8">
        <w:rPr>
          <w:rFonts w:ascii="Arial" w:hAnsi="Arial" w:cs="Arial"/>
          <w:sz w:val="16"/>
          <w:szCs w:val="16"/>
        </w:rPr>
        <w:t xml:space="preserve"> Überempfindlichkeitsreaktionen anaphylaktische Reaktionen; Kontaktdermatitis, Angioödem; Pneumonitis nach Aspiration; nach nennenswerter Iod-Aufnahme: Iod-induzierte Hyperthyreose (bei </w:t>
      </w:r>
      <w:proofErr w:type="spellStart"/>
      <w:r w:rsidRPr="00B85FE8">
        <w:rPr>
          <w:rFonts w:ascii="Arial" w:hAnsi="Arial" w:cs="Arial"/>
          <w:sz w:val="16"/>
          <w:szCs w:val="16"/>
        </w:rPr>
        <w:t>prädisp</w:t>
      </w:r>
      <w:proofErr w:type="spellEnd"/>
      <w:r w:rsidRPr="00B85FE8">
        <w:rPr>
          <w:rFonts w:ascii="Arial" w:hAnsi="Arial" w:cs="Arial"/>
          <w:sz w:val="16"/>
          <w:szCs w:val="16"/>
        </w:rPr>
        <w:t>. Pat.), Hypothyreose, Elektrolyt-Ungleichgewicht, metabolische Azidose, akute Nieren-Insuffizienz, ungewöhnliche Blut-Osmolarität; bei Verwendung von Hochfrequenz-</w:t>
      </w:r>
      <w:proofErr w:type="spellStart"/>
      <w:r w:rsidRPr="00B85FE8">
        <w:rPr>
          <w:rFonts w:ascii="Arial" w:hAnsi="Arial" w:cs="Arial"/>
          <w:sz w:val="16"/>
          <w:szCs w:val="16"/>
        </w:rPr>
        <w:t>Chirurgiegeräten</w:t>
      </w:r>
      <w:proofErr w:type="spellEnd"/>
      <w:r w:rsidRPr="00B85FE8">
        <w:rPr>
          <w:rFonts w:ascii="Arial" w:hAnsi="Arial" w:cs="Arial"/>
          <w:sz w:val="16"/>
          <w:szCs w:val="16"/>
        </w:rPr>
        <w:t xml:space="preserve">: thermische Verbrennung der Haut. </w:t>
      </w:r>
      <w:r w:rsidRPr="00B85FE8">
        <w:rPr>
          <w:rFonts w:ascii="Arial" w:hAnsi="Arial" w:cs="Arial"/>
          <w:b/>
          <w:bCs/>
          <w:sz w:val="16"/>
          <w:szCs w:val="16"/>
        </w:rPr>
        <w:t>Warnhinweise:</w:t>
      </w:r>
      <w:r w:rsidRPr="00B85FE8">
        <w:rPr>
          <w:rFonts w:ascii="Arial" w:hAnsi="Arial" w:cs="Arial"/>
          <w:sz w:val="16"/>
          <w:szCs w:val="16"/>
        </w:rPr>
        <w:t xml:space="preserve"> Enthält 36 Vol.-% Alkohol. Arzneimittel für Kinder unzugänglich aufbewahren. Packungsbeilage beachten.</w:t>
      </w:r>
    </w:p>
    <w:p w14:paraId="254A78B8" w14:textId="77777777" w:rsidR="00B85FE8" w:rsidRPr="00B85FE8" w:rsidRDefault="00B85FE8" w:rsidP="008E622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5FE8">
        <w:rPr>
          <w:rFonts w:ascii="Arial" w:hAnsi="Arial" w:cs="Arial"/>
          <w:b/>
          <w:bCs/>
          <w:sz w:val="16"/>
          <w:szCs w:val="16"/>
        </w:rPr>
        <w:t>Mundipharma GmbH</w:t>
      </w:r>
      <w:r w:rsidRPr="00B85FE8">
        <w:rPr>
          <w:rFonts w:ascii="Arial" w:hAnsi="Arial" w:cs="Arial"/>
          <w:sz w:val="16"/>
          <w:szCs w:val="16"/>
        </w:rPr>
        <w:t>, 60549 Frankfurt am Main. Stand 07/20</w:t>
      </w:r>
    </w:p>
    <w:p w14:paraId="2947478C" w14:textId="77777777" w:rsidR="00B85FE8" w:rsidRPr="004D0628" w:rsidRDefault="00B85FE8" w:rsidP="008E622A">
      <w:pPr>
        <w:spacing w:after="120" w:line="360" w:lineRule="auto"/>
        <w:jc w:val="both"/>
        <w:rPr>
          <w:rFonts w:ascii="Arial" w:hAnsi="Arial" w:cs="Arial"/>
        </w:rPr>
      </w:pPr>
    </w:p>
    <w:sectPr w:rsidR="00B85FE8" w:rsidRPr="004D0628" w:rsidSect="008E622A">
      <w:headerReference w:type="default" r:id="rId7"/>
      <w:pgSz w:w="11906" w:h="16838"/>
      <w:pgMar w:top="1880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1CB9" w14:textId="77777777" w:rsidR="002A1646" w:rsidRDefault="002A1646" w:rsidP="004D0628">
      <w:pPr>
        <w:spacing w:after="0" w:line="240" w:lineRule="auto"/>
      </w:pPr>
      <w:r>
        <w:separator/>
      </w:r>
    </w:p>
  </w:endnote>
  <w:endnote w:type="continuationSeparator" w:id="0">
    <w:p w14:paraId="57FCFE1D" w14:textId="77777777" w:rsidR="002A1646" w:rsidRDefault="002A1646" w:rsidP="004D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F3A0" w14:textId="77777777" w:rsidR="002A1646" w:rsidRDefault="002A1646" w:rsidP="004D0628">
      <w:pPr>
        <w:spacing w:after="0" w:line="240" w:lineRule="auto"/>
      </w:pPr>
      <w:r>
        <w:separator/>
      </w:r>
    </w:p>
  </w:footnote>
  <w:footnote w:type="continuationSeparator" w:id="0">
    <w:p w14:paraId="41B3FECF" w14:textId="77777777" w:rsidR="002A1646" w:rsidRDefault="002A1646" w:rsidP="004D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E6E3" w14:textId="77777777" w:rsidR="00846C0E" w:rsidRDefault="00846C0E" w:rsidP="00846C0E">
    <w:pPr>
      <w:pStyle w:val="Primarypageheading"/>
      <w:tabs>
        <w:tab w:val="left" w:pos="7905"/>
      </w:tabs>
      <w:rPr>
        <w:color w:val="auto"/>
        <w:lang w:val="de-DE"/>
      </w:rPr>
    </w:pPr>
    <w:r w:rsidRPr="005C5E6F">
      <w:rPr>
        <w:noProof/>
        <w:color w:val="auto"/>
        <w:lang w:val="de-DE" w:eastAsia="de-DE"/>
      </w:rPr>
      <w:drawing>
        <wp:anchor distT="0" distB="0" distL="114300" distR="114300" simplePos="0" relativeHeight="251662336" behindDoc="0" locked="0" layoutInCell="1" allowOverlap="1" wp14:anchorId="47865E1A" wp14:editId="058A907F">
          <wp:simplePos x="0" y="0"/>
          <wp:positionH relativeFrom="margin">
            <wp:posOffset>4279900</wp:posOffset>
          </wp:positionH>
          <wp:positionV relativeFrom="paragraph">
            <wp:posOffset>-31750</wp:posOffset>
          </wp:positionV>
          <wp:extent cx="1633855" cy="384175"/>
          <wp:effectExtent l="0" t="0" r="4445" b="0"/>
          <wp:wrapThrough wrapText="bothSides">
            <wp:wrapPolygon edited="0">
              <wp:start x="0" y="0"/>
              <wp:lineTo x="0" y="20350"/>
              <wp:lineTo x="21407" y="20350"/>
              <wp:lineTo x="21407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8C5094" w14:textId="77777777" w:rsidR="00846C0E" w:rsidRPr="00846C0E" w:rsidRDefault="00846C0E" w:rsidP="00846C0E">
    <w:pPr>
      <w:pStyle w:val="Primarypageheading"/>
      <w:tabs>
        <w:tab w:val="left" w:pos="7905"/>
      </w:tabs>
      <w:rPr>
        <w:color w:val="auto"/>
        <w:lang w:val="de-DE"/>
      </w:rPr>
    </w:pPr>
    <w:r>
      <w:rPr>
        <w:rFonts w:cstheme="majorHAnsi"/>
        <w:b w:val="0"/>
        <w:i/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81CCDD5" wp14:editId="6909FE4C">
              <wp:simplePos x="0" y="0"/>
              <wp:positionH relativeFrom="margin">
                <wp:posOffset>-13971</wp:posOffset>
              </wp:positionH>
              <wp:positionV relativeFrom="page">
                <wp:posOffset>942975</wp:posOffset>
              </wp:positionV>
              <wp:extent cx="5819775" cy="0"/>
              <wp:effectExtent l="0" t="0" r="0" b="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6745D" id="Straight Connector 6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page" from="-1.1pt,74.25pt" to="457.1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" strokecolor="#7f7f7f [1612]" strokeweight=".5pt">
              <w10:wrap anchorx="margin" anchory="page"/>
            </v:line>
          </w:pict>
        </mc:Fallback>
      </mc:AlternateContent>
    </w:r>
    <w:r w:rsidRPr="005C5E6F">
      <w:rPr>
        <w:color w:val="auto"/>
        <w:lang w:val="de-DE"/>
      </w:rPr>
      <w:t>FACTSHEET</w:t>
    </w:r>
    <w:r>
      <w:rPr>
        <w:color w:val="auto"/>
        <w:lang w:val="de-DE"/>
      </w:rPr>
      <w:t xml:space="preserve"> STUDIE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28"/>
    <w:rsid w:val="000B1E6D"/>
    <w:rsid w:val="000E1BE4"/>
    <w:rsid w:val="001151FC"/>
    <w:rsid w:val="002A1646"/>
    <w:rsid w:val="002A2174"/>
    <w:rsid w:val="003A63AA"/>
    <w:rsid w:val="003D2F63"/>
    <w:rsid w:val="00462E2D"/>
    <w:rsid w:val="00484DA3"/>
    <w:rsid w:val="004D0628"/>
    <w:rsid w:val="00591C5F"/>
    <w:rsid w:val="005A1188"/>
    <w:rsid w:val="00671057"/>
    <w:rsid w:val="00707CF9"/>
    <w:rsid w:val="007567A2"/>
    <w:rsid w:val="007B72CA"/>
    <w:rsid w:val="00846C0E"/>
    <w:rsid w:val="00865670"/>
    <w:rsid w:val="008E4533"/>
    <w:rsid w:val="008E622A"/>
    <w:rsid w:val="008F5E14"/>
    <w:rsid w:val="009552AD"/>
    <w:rsid w:val="00B14E9C"/>
    <w:rsid w:val="00B44F88"/>
    <w:rsid w:val="00B85FE8"/>
    <w:rsid w:val="00BB02EB"/>
    <w:rsid w:val="00C11CC3"/>
    <w:rsid w:val="00C45F53"/>
    <w:rsid w:val="00C72BE1"/>
    <w:rsid w:val="00CC52F7"/>
    <w:rsid w:val="00CD70B7"/>
    <w:rsid w:val="00DD2639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5A9921"/>
  <w15:chartTrackingRefBased/>
  <w15:docId w15:val="{D4424C2B-F715-45EF-BFBE-6FD17B1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628"/>
  </w:style>
  <w:style w:type="paragraph" w:styleId="Fuzeile">
    <w:name w:val="footer"/>
    <w:basedOn w:val="Standard"/>
    <w:link w:val="FuzeileZchn"/>
    <w:uiPriority w:val="99"/>
    <w:unhideWhenUsed/>
    <w:rsid w:val="004D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628"/>
  </w:style>
  <w:style w:type="paragraph" w:customStyle="1" w:styleId="Primarypageheading">
    <w:name w:val="Primary page heading"/>
    <w:qFormat/>
    <w:rsid w:val="004D0628"/>
    <w:pPr>
      <w:spacing w:after="0" w:line="240" w:lineRule="auto"/>
    </w:pPr>
    <w:rPr>
      <w:rFonts w:asciiTheme="majorHAnsi" w:hAnsiTheme="majorHAnsi" w:cstheme="minorHAnsi"/>
      <w:b/>
      <w:color w:val="4472C4" w:themeColor="accent1"/>
      <w:sz w:val="26"/>
      <w:szCs w:val="26"/>
      <w:lang w:val="en-GB"/>
    </w:rPr>
  </w:style>
  <w:style w:type="paragraph" w:customStyle="1" w:styleId="Supportingpageheading">
    <w:name w:val="Supporting page heading"/>
    <w:qFormat/>
    <w:rsid w:val="00846C0E"/>
    <w:pPr>
      <w:spacing w:after="0" w:line="240" w:lineRule="auto"/>
    </w:pPr>
    <w:rPr>
      <w:rFonts w:ascii="Georgia" w:hAnsi="Georgia" w:cstheme="minorHAnsi"/>
      <w:i/>
      <w:color w:val="000000" w:themeColor="text1"/>
      <w:sz w:val="26"/>
      <w:szCs w:val="26"/>
      <w:lang w:val="en-GB"/>
    </w:rPr>
  </w:style>
  <w:style w:type="character" w:styleId="Hyperlink">
    <w:name w:val="Hyperlink"/>
    <w:basedOn w:val="Absatz-Standardschriftart"/>
    <w:uiPriority w:val="99"/>
    <w:unhideWhenUsed/>
    <w:rsid w:val="00846C0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6C0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1E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E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1E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E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E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E6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A63AA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A2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e.com/articles/s41415-020-1794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Jaretz</dc:creator>
  <cp:keywords/>
  <dc:description/>
  <cp:lastModifiedBy>Bernd Stumm</cp:lastModifiedBy>
  <cp:revision>4</cp:revision>
  <dcterms:created xsi:type="dcterms:W3CDTF">2020-09-07T16:53:00Z</dcterms:created>
  <dcterms:modified xsi:type="dcterms:W3CDTF">2020-09-17T15:51:00Z</dcterms:modified>
</cp:coreProperties>
</file>