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D59A" w14:textId="77777777" w:rsidR="003658F0" w:rsidRDefault="003658F0" w:rsidP="003658F0">
      <w:pPr>
        <w:rPr>
          <w:rFonts w:cs="Arial"/>
          <w:sz w:val="22"/>
          <w:szCs w:val="22"/>
        </w:rPr>
      </w:pPr>
    </w:p>
    <w:p w14:paraId="23464831" w14:textId="77777777" w:rsidR="00797729" w:rsidRPr="00DF2C24" w:rsidRDefault="00797729" w:rsidP="003658F0">
      <w:pPr>
        <w:rPr>
          <w:rFonts w:cs="Arial"/>
          <w:sz w:val="22"/>
          <w:szCs w:val="22"/>
        </w:rPr>
      </w:pPr>
    </w:p>
    <w:p w14:paraId="5A4C5212" w14:textId="77777777" w:rsidR="003658F0" w:rsidRDefault="003658F0" w:rsidP="003658F0">
      <w:pPr>
        <w:rPr>
          <w:rFonts w:cs="Arial"/>
          <w:b/>
          <w:sz w:val="28"/>
          <w:szCs w:val="28"/>
        </w:rPr>
      </w:pPr>
      <w:r w:rsidRPr="00DF2C24">
        <w:rPr>
          <w:rFonts w:cs="Arial"/>
          <w:b/>
          <w:sz w:val="28"/>
          <w:szCs w:val="28"/>
        </w:rPr>
        <w:t xml:space="preserve">Produktsteckbrief </w:t>
      </w:r>
    </w:p>
    <w:p w14:paraId="3CF56750" w14:textId="77777777" w:rsidR="00797729" w:rsidRDefault="00797729" w:rsidP="00A421CC">
      <w:pPr>
        <w:tabs>
          <w:tab w:val="left" w:pos="2835"/>
        </w:tabs>
        <w:rPr>
          <w:b/>
          <w:sz w:val="32"/>
        </w:rPr>
      </w:pPr>
    </w:p>
    <w:p w14:paraId="2D893BAF" w14:textId="77777777" w:rsidR="00A421CC" w:rsidRDefault="00A56176" w:rsidP="00A421CC">
      <w:pPr>
        <w:tabs>
          <w:tab w:val="left" w:pos="2835"/>
        </w:tabs>
        <w:rPr>
          <w:sz w:val="26"/>
        </w:rPr>
      </w:pPr>
      <w:r>
        <w:rPr>
          <w:b/>
          <w:sz w:val="32"/>
        </w:rPr>
        <w:t>algovir</w:t>
      </w:r>
      <w:r w:rsidR="00A421CC">
        <w:rPr>
          <w:sz w:val="26"/>
        </w:rPr>
        <w:t xml:space="preserve"> </w:t>
      </w:r>
      <w:r>
        <w:rPr>
          <w:b/>
          <w:sz w:val="32"/>
        </w:rPr>
        <w:t>Effekt Erkältungsspray</w:t>
      </w:r>
    </w:p>
    <w:p w14:paraId="04C37754" w14:textId="77777777" w:rsidR="00A421CC" w:rsidRDefault="00A421CC" w:rsidP="00A421CC">
      <w:pPr>
        <w:tabs>
          <w:tab w:val="left" w:pos="2835"/>
        </w:tabs>
      </w:pPr>
    </w:p>
    <w:p w14:paraId="59C58152" w14:textId="77777777" w:rsidR="00A421CC" w:rsidRDefault="00A421CC" w:rsidP="00A421CC">
      <w:pPr>
        <w:tabs>
          <w:tab w:val="left" w:pos="2835"/>
        </w:tabs>
        <w:rPr>
          <w:sz w:val="22"/>
          <w:szCs w:val="22"/>
        </w:rPr>
      </w:pPr>
    </w:p>
    <w:p w14:paraId="08FEFC49" w14:textId="77777777" w:rsidR="00235BE4" w:rsidRDefault="00235BE4" w:rsidP="00A421CC">
      <w:pPr>
        <w:tabs>
          <w:tab w:val="left" w:pos="2835"/>
        </w:tabs>
        <w:rPr>
          <w:sz w:val="22"/>
          <w:szCs w:val="22"/>
        </w:rPr>
      </w:pPr>
    </w:p>
    <w:p w14:paraId="392139A9" w14:textId="77777777" w:rsidR="00235BE4" w:rsidRPr="00235BE4" w:rsidRDefault="00235BE4" w:rsidP="00A421CC">
      <w:pPr>
        <w:tabs>
          <w:tab w:val="left" w:pos="2835"/>
        </w:tabs>
        <w:rPr>
          <w:sz w:val="22"/>
          <w:szCs w:val="22"/>
        </w:rPr>
      </w:pPr>
    </w:p>
    <w:p w14:paraId="4AADEAA0" w14:textId="77777777" w:rsidR="00A421CC" w:rsidRPr="00235BE4" w:rsidRDefault="00235BE4" w:rsidP="00235BE4">
      <w:pPr>
        <w:tabs>
          <w:tab w:val="left" w:pos="3500"/>
        </w:tabs>
        <w:rPr>
          <w:sz w:val="22"/>
          <w:szCs w:val="22"/>
        </w:rPr>
      </w:pPr>
      <w:r w:rsidRPr="00235BE4">
        <w:rPr>
          <w:b/>
          <w:sz w:val="22"/>
          <w:szCs w:val="22"/>
        </w:rPr>
        <w:t>Produktkategorie</w:t>
      </w:r>
      <w:r w:rsidR="00A421CC" w:rsidRPr="00235BE4">
        <w:rPr>
          <w:sz w:val="22"/>
          <w:szCs w:val="22"/>
        </w:rPr>
        <w:tab/>
      </w:r>
      <w:r w:rsidR="00313755">
        <w:rPr>
          <w:sz w:val="22"/>
          <w:szCs w:val="22"/>
        </w:rPr>
        <w:t xml:space="preserve">Medizinprodukt </w:t>
      </w:r>
      <w:r w:rsidR="003F3F99">
        <w:rPr>
          <w:sz w:val="22"/>
          <w:szCs w:val="22"/>
        </w:rPr>
        <w:t>Klasse</w:t>
      </w:r>
      <w:r w:rsidR="00313755">
        <w:rPr>
          <w:sz w:val="22"/>
          <w:szCs w:val="22"/>
        </w:rPr>
        <w:t xml:space="preserve"> IIa</w:t>
      </w:r>
    </w:p>
    <w:p w14:paraId="0D0EDAFD" w14:textId="77777777" w:rsidR="00A421CC" w:rsidRPr="00235BE4" w:rsidRDefault="00A421CC" w:rsidP="00235BE4">
      <w:pPr>
        <w:tabs>
          <w:tab w:val="left" w:pos="3500"/>
        </w:tabs>
        <w:rPr>
          <w:sz w:val="22"/>
          <w:szCs w:val="22"/>
        </w:rPr>
      </w:pPr>
    </w:p>
    <w:p w14:paraId="0DF3CDBE" w14:textId="77777777" w:rsidR="00A421CC" w:rsidRPr="00235BE4" w:rsidRDefault="00A421CC" w:rsidP="00235BE4">
      <w:pPr>
        <w:tabs>
          <w:tab w:val="left" w:pos="3500"/>
        </w:tabs>
        <w:rPr>
          <w:sz w:val="22"/>
          <w:szCs w:val="22"/>
        </w:rPr>
      </w:pPr>
      <w:r w:rsidRPr="00235BE4">
        <w:rPr>
          <w:b/>
          <w:sz w:val="22"/>
          <w:szCs w:val="22"/>
        </w:rPr>
        <w:t>Darreichungsform</w:t>
      </w:r>
      <w:r w:rsidRPr="00235BE4">
        <w:rPr>
          <w:sz w:val="22"/>
          <w:szCs w:val="22"/>
        </w:rPr>
        <w:tab/>
      </w:r>
      <w:r w:rsidR="00313755">
        <w:rPr>
          <w:sz w:val="22"/>
          <w:szCs w:val="22"/>
        </w:rPr>
        <w:t>Spray zur Anwendung in der Nase</w:t>
      </w:r>
    </w:p>
    <w:p w14:paraId="5D289D7B" w14:textId="77777777" w:rsidR="00A421CC" w:rsidRPr="00235BE4" w:rsidRDefault="00A421CC" w:rsidP="00235BE4">
      <w:pPr>
        <w:pStyle w:val="Fuzeile"/>
        <w:tabs>
          <w:tab w:val="clear" w:pos="4819"/>
          <w:tab w:val="clear" w:pos="9071"/>
          <w:tab w:val="left" w:pos="3500"/>
        </w:tabs>
        <w:rPr>
          <w:sz w:val="22"/>
          <w:szCs w:val="22"/>
        </w:rPr>
      </w:pPr>
    </w:p>
    <w:p w14:paraId="7A2E5F02" w14:textId="77777777" w:rsidR="00A421CC" w:rsidRDefault="00A421CC" w:rsidP="00235BE4">
      <w:pPr>
        <w:tabs>
          <w:tab w:val="left" w:pos="3500"/>
        </w:tabs>
        <w:ind w:left="2835" w:hanging="2835"/>
        <w:rPr>
          <w:sz w:val="22"/>
          <w:szCs w:val="22"/>
        </w:rPr>
      </w:pPr>
      <w:r w:rsidRPr="00235BE4">
        <w:rPr>
          <w:b/>
          <w:sz w:val="22"/>
          <w:szCs w:val="22"/>
        </w:rPr>
        <w:t>Packungsgrößen</w:t>
      </w:r>
      <w:r w:rsidRPr="00235BE4">
        <w:rPr>
          <w:sz w:val="22"/>
          <w:szCs w:val="22"/>
        </w:rPr>
        <w:tab/>
      </w:r>
      <w:r w:rsidR="00235BE4">
        <w:rPr>
          <w:sz w:val="22"/>
          <w:szCs w:val="22"/>
        </w:rPr>
        <w:tab/>
      </w:r>
      <w:r w:rsidR="00010972">
        <w:rPr>
          <w:sz w:val="22"/>
          <w:szCs w:val="22"/>
        </w:rPr>
        <w:t>20 ml-Flasche mit Sprühaufsatz</w:t>
      </w:r>
    </w:p>
    <w:p w14:paraId="5FFFBC12" w14:textId="77777777" w:rsidR="0044417C" w:rsidRDefault="0044417C" w:rsidP="00235BE4">
      <w:pPr>
        <w:tabs>
          <w:tab w:val="left" w:pos="3500"/>
        </w:tabs>
        <w:ind w:left="2835" w:hanging="2835"/>
        <w:rPr>
          <w:sz w:val="22"/>
          <w:szCs w:val="22"/>
        </w:rPr>
      </w:pPr>
    </w:p>
    <w:p w14:paraId="70DEF18D" w14:textId="77777777" w:rsidR="0044417C" w:rsidRPr="00235BE4" w:rsidRDefault="0044417C" w:rsidP="00235BE4">
      <w:pPr>
        <w:tabs>
          <w:tab w:val="left" w:pos="3500"/>
        </w:tabs>
        <w:ind w:left="2835" w:hanging="2835"/>
        <w:rPr>
          <w:sz w:val="22"/>
          <w:szCs w:val="22"/>
        </w:rPr>
      </w:pPr>
      <w:r>
        <w:rPr>
          <w:b/>
          <w:bCs/>
          <w:sz w:val="22"/>
          <w:szCs w:val="22"/>
        </w:rPr>
        <w:t>Pharmazentralnummer</w:t>
      </w:r>
      <w:r>
        <w:rPr>
          <w:sz w:val="22"/>
          <w:szCs w:val="22"/>
        </w:rPr>
        <w:tab/>
      </w:r>
      <w:r>
        <w:rPr>
          <w:sz w:val="22"/>
          <w:szCs w:val="22"/>
        </w:rPr>
        <w:tab/>
        <w:t>PZN - 12579956</w:t>
      </w:r>
    </w:p>
    <w:p w14:paraId="33E5A775" w14:textId="77777777" w:rsidR="00A421CC" w:rsidRPr="00235BE4" w:rsidRDefault="00A421CC" w:rsidP="00235BE4">
      <w:pPr>
        <w:pStyle w:val="Textkrper-Zeileneinzug"/>
        <w:tabs>
          <w:tab w:val="clear" w:pos="2835"/>
          <w:tab w:val="left" w:pos="3500"/>
        </w:tabs>
        <w:rPr>
          <w:b/>
          <w:sz w:val="22"/>
          <w:szCs w:val="22"/>
        </w:rPr>
      </w:pPr>
    </w:p>
    <w:p w14:paraId="0C560973" w14:textId="77777777" w:rsidR="00A421CC" w:rsidRPr="00235BE4" w:rsidRDefault="003F3F99" w:rsidP="00235BE4">
      <w:pPr>
        <w:pStyle w:val="Textkrper-Zeileneinzug"/>
        <w:tabs>
          <w:tab w:val="clear" w:pos="2835"/>
          <w:tab w:val="left" w:pos="3500"/>
        </w:tabs>
        <w:rPr>
          <w:sz w:val="22"/>
          <w:szCs w:val="22"/>
        </w:rPr>
      </w:pPr>
      <w:r>
        <w:rPr>
          <w:b/>
          <w:sz w:val="22"/>
          <w:szCs w:val="22"/>
        </w:rPr>
        <w:t>Inhaltsstoffe</w:t>
      </w:r>
      <w:r w:rsidR="00A421CC" w:rsidRPr="00235BE4">
        <w:rPr>
          <w:sz w:val="22"/>
          <w:szCs w:val="22"/>
        </w:rPr>
        <w:tab/>
      </w:r>
      <w:r w:rsidR="00235BE4">
        <w:rPr>
          <w:sz w:val="22"/>
          <w:szCs w:val="22"/>
        </w:rPr>
        <w:tab/>
      </w:r>
      <w:r w:rsidR="00C44411">
        <w:rPr>
          <w:sz w:val="22"/>
          <w:szCs w:val="22"/>
        </w:rPr>
        <w:t>Klare, farblose, viskose Lösung ohne Geruch.</w:t>
      </w:r>
    </w:p>
    <w:p w14:paraId="5BB5415D" w14:textId="77777777" w:rsidR="006C2915" w:rsidRPr="006C2915" w:rsidRDefault="00A421CC" w:rsidP="006C2915">
      <w:pPr>
        <w:pStyle w:val="Textkrper-Zeileneinzug"/>
        <w:tabs>
          <w:tab w:val="clear" w:pos="2835"/>
          <w:tab w:val="left" w:pos="3500"/>
        </w:tabs>
        <w:ind w:left="3500"/>
        <w:jc w:val="both"/>
        <w:rPr>
          <w:sz w:val="22"/>
          <w:szCs w:val="22"/>
        </w:rPr>
      </w:pPr>
      <w:r w:rsidRPr="00235BE4">
        <w:rPr>
          <w:sz w:val="22"/>
          <w:szCs w:val="22"/>
        </w:rPr>
        <w:tab/>
      </w:r>
      <w:r w:rsidR="003F3F99">
        <w:rPr>
          <w:sz w:val="22"/>
          <w:szCs w:val="22"/>
        </w:rPr>
        <w:t>1 ml Lösung enthält 1,2 mg I</w:t>
      </w:r>
      <w:r w:rsidR="00C44411">
        <w:rPr>
          <w:sz w:val="22"/>
          <w:szCs w:val="22"/>
        </w:rPr>
        <w:t>ota-Carrageen (Carragelose</w:t>
      </w:r>
      <w:r w:rsidR="00CB1ED0">
        <w:rPr>
          <w:sz w:val="22"/>
          <w:szCs w:val="22"/>
        </w:rPr>
        <w:t>), 0,4 K</w:t>
      </w:r>
      <w:r w:rsidR="00C44411">
        <w:rPr>
          <w:sz w:val="22"/>
          <w:szCs w:val="22"/>
        </w:rPr>
        <w:t>appa-Carrageen, Natriumchlorid und gereinigtes Wasser</w:t>
      </w:r>
      <w:r w:rsidR="003F3F99">
        <w:rPr>
          <w:sz w:val="22"/>
          <w:szCs w:val="22"/>
        </w:rPr>
        <w:t>.</w:t>
      </w:r>
    </w:p>
    <w:p w14:paraId="53997CA7" w14:textId="77777777" w:rsidR="00A421CC" w:rsidRPr="00235BE4" w:rsidRDefault="00A421CC" w:rsidP="00235BE4">
      <w:pPr>
        <w:pStyle w:val="Textkrper-Zeileneinzug"/>
        <w:tabs>
          <w:tab w:val="clear" w:pos="2835"/>
          <w:tab w:val="left" w:pos="3500"/>
        </w:tabs>
        <w:rPr>
          <w:sz w:val="22"/>
          <w:szCs w:val="22"/>
        </w:rPr>
      </w:pPr>
    </w:p>
    <w:p w14:paraId="424FF3C6" w14:textId="77777777" w:rsidR="00CB1ED0" w:rsidRPr="00CB1ED0" w:rsidRDefault="00C44411" w:rsidP="00CB1ED0">
      <w:pPr>
        <w:tabs>
          <w:tab w:val="left" w:pos="3500"/>
        </w:tabs>
        <w:ind w:left="3500" w:hanging="3500"/>
        <w:jc w:val="both"/>
        <w:rPr>
          <w:noProof/>
        </w:rPr>
      </w:pPr>
      <w:r>
        <w:rPr>
          <w:b/>
          <w:sz w:val="22"/>
          <w:szCs w:val="22"/>
        </w:rPr>
        <w:t>Anwendungsgebiete</w:t>
      </w:r>
      <w:r w:rsidR="00A421CC" w:rsidRPr="00235BE4">
        <w:rPr>
          <w:sz w:val="22"/>
          <w:szCs w:val="22"/>
        </w:rPr>
        <w:tab/>
      </w:r>
      <w:r>
        <w:rPr>
          <w:sz w:val="22"/>
          <w:szCs w:val="22"/>
        </w:rPr>
        <w:t xml:space="preserve">algovir Effekt </w:t>
      </w:r>
      <w:r w:rsidR="00CB1ED0">
        <w:rPr>
          <w:sz w:val="22"/>
          <w:szCs w:val="22"/>
        </w:rPr>
        <w:t>dient zur Vorbeugung und unterstützenden Behandlung von virusbedingten Infektionen der Atemwege. algovir Effekt kann die Dauer von grippalen Infekten verkürzen, Symptome lindern und eine Neuinfektion oder ein Wiederaufflammen von virusbedingten Erkältungssymptomen reduzieren.</w:t>
      </w:r>
    </w:p>
    <w:p w14:paraId="1047DC5B" w14:textId="77777777" w:rsidR="00A421CC" w:rsidRPr="00235BE4" w:rsidRDefault="00A421CC" w:rsidP="00235BE4">
      <w:pPr>
        <w:tabs>
          <w:tab w:val="left" w:pos="3500"/>
        </w:tabs>
        <w:rPr>
          <w:sz w:val="22"/>
          <w:szCs w:val="22"/>
        </w:rPr>
      </w:pPr>
      <w:r w:rsidRPr="00235BE4">
        <w:rPr>
          <w:sz w:val="22"/>
          <w:szCs w:val="22"/>
        </w:rPr>
        <w:tab/>
      </w:r>
    </w:p>
    <w:p w14:paraId="2FDD5857" w14:textId="77777777" w:rsidR="00A421CC" w:rsidRDefault="00313755" w:rsidP="00C44411">
      <w:pPr>
        <w:tabs>
          <w:tab w:val="left" w:pos="3500"/>
        </w:tabs>
        <w:ind w:left="3495" w:hanging="3495"/>
        <w:jc w:val="both"/>
        <w:rPr>
          <w:sz w:val="22"/>
          <w:szCs w:val="22"/>
        </w:rPr>
      </w:pPr>
      <w:r>
        <w:rPr>
          <w:b/>
          <w:sz w:val="22"/>
          <w:szCs w:val="22"/>
        </w:rPr>
        <w:t>Art</w:t>
      </w:r>
      <w:r w:rsidR="00C44411">
        <w:rPr>
          <w:b/>
          <w:sz w:val="22"/>
          <w:szCs w:val="22"/>
        </w:rPr>
        <w:t xml:space="preserve"> der Anwendung</w:t>
      </w:r>
      <w:r w:rsidR="00A421CC" w:rsidRPr="00235BE4">
        <w:rPr>
          <w:sz w:val="22"/>
          <w:szCs w:val="22"/>
        </w:rPr>
        <w:tab/>
      </w:r>
      <w:r w:rsidR="00235BE4">
        <w:rPr>
          <w:sz w:val="22"/>
          <w:szCs w:val="22"/>
        </w:rPr>
        <w:tab/>
      </w:r>
      <w:r>
        <w:rPr>
          <w:sz w:val="22"/>
          <w:szCs w:val="22"/>
        </w:rPr>
        <w:t>Bei den ersten Anzeichen einer E</w:t>
      </w:r>
      <w:r w:rsidR="00CB1ED0">
        <w:rPr>
          <w:sz w:val="22"/>
          <w:szCs w:val="22"/>
        </w:rPr>
        <w:t xml:space="preserve">rkältungskrankheit mindestens 3 </w:t>
      </w:r>
      <w:r>
        <w:rPr>
          <w:sz w:val="22"/>
          <w:szCs w:val="22"/>
        </w:rPr>
        <w:t xml:space="preserve">x täglich einen Sprühstoß in jedes Nasenloch. Der Beginn der Behandlung sollte so rasch wie möglich nach Auftreten der ersten Erkältungssymptome erfolgen und bis zum Abklingen der Symptome fortgesetzt werden. Wenn Fieber </w:t>
      </w:r>
      <w:r w:rsidR="00CB1ED0">
        <w:rPr>
          <w:sz w:val="22"/>
          <w:szCs w:val="22"/>
        </w:rPr>
        <w:t xml:space="preserve">hinzukommt </w:t>
      </w:r>
      <w:r>
        <w:rPr>
          <w:sz w:val="22"/>
          <w:szCs w:val="22"/>
        </w:rPr>
        <w:t xml:space="preserve">oder nach 1 Woche keine Besserung </w:t>
      </w:r>
      <w:r w:rsidR="00CB1ED0">
        <w:rPr>
          <w:sz w:val="22"/>
          <w:szCs w:val="22"/>
        </w:rPr>
        <w:t>ein</w:t>
      </w:r>
      <w:r>
        <w:rPr>
          <w:sz w:val="22"/>
          <w:szCs w:val="22"/>
        </w:rPr>
        <w:t>tritt, sollte ein Arzt aufgesucht werden.</w:t>
      </w:r>
    </w:p>
    <w:p w14:paraId="5992CDCE" w14:textId="77777777" w:rsidR="006C2915" w:rsidRDefault="006C2915" w:rsidP="00C44411">
      <w:pPr>
        <w:tabs>
          <w:tab w:val="left" w:pos="3500"/>
        </w:tabs>
        <w:ind w:left="3495" w:hanging="3495"/>
        <w:jc w:val="both"/>
        <w:rPr>
          <w:sz w:val="22"/>
          <w:szCs w:val="22"/>
        </w:rPr>
      </w:pPr>
    </w:p>
    <w:p w14:paraId="6FEE4D9F" w14:textId="77777777" w:rsidR="0044417C" w:rsidRDefault="006C2915" w:rsidP="006C2915">
      <w:pPr>
        <w:tabs>
          <w:tab w:val="left" w:pos="3500"/>
        </w:tabs>
        <w:ind w:left="3500" w:hanging="3500"/>
        <w:jc w:val="both"/>
        <w:rPr>
          <w:sz w:val="22"/>
          <w:szCs w:val="22"/>
        </w:rPr>
      </w:pPr>
      <w:r>
        <w:rPr>
          <w:b/>
          <w:sz w:val="22"/>
          <w:szCs w:val="22"/>
        </w:rPr>
        <w:t>Weitere Hinweise</w:t>
      </w:r>
      <w:r w:rsidRPr="00235BE4">
        <w:rPr>
          <w:sz w:val="22"/>
          <w:szCs w:val="22"/>
        </w:rPr>
        <w:tab/>
      </w:r>
      <w:r w:rsidR="0044417C">
        <w:rPr>
          <w:sz w:val="22"/>
          <w:szCs w:val="22"/>
        </w:rPr>
        <w:t>algovir Effekt kann über einen längeren Zeitraum angewendet werden. Es besteht kein Gewöhnungseffekt oder Risiko einer Überdosierung.</w:t>
      </w:r>
    </w:p>
    <w:p w14:paraId="2424BB48" w14:textId="77777777" w:rsidR="0044417C" w:rsidRDefault="0044417C" w:rsidP="006C2915">
      <w:pPr>
        <w:tabs>
          <w:tab w:val="left" w:pos="3500"/>
        </w:tabs>
        <w:ind w:left="3500" w:hanging="3500"/>
        <w:jc w:val="both"/>
        <w:rPr>
          <w:sz w:val="22"/>
          <w:szCs w:val="22"/>
        </w:rPr>
      </w:pPr>
    </w:p>
    <w:p w14:paraId="30319000" w14:textId="77777777" w:rsidR="006C2915" w:rsidRDefault="0044417C" w:rsidP="006C2915">
      <w:pPr>
        <w:tabs>
          <w:tab w:val="left" w:pos="3500"/>
        </w:tabs>
        <w:ind w:left="3500" w:hanging="3500"/>
        <w:jc w:val="both"/>
        <w:rPr>
          <w:sz w:val="22"/>
          <w:szCs w:val="22"/>
        </w:rPr>
      </w:pPr>
      <w:r>
        <w:rPr>
          <w:sz w:val="22"/>
          <w:szCs w:val="22"/>
        </w:rPr>
        <w:tab/>
        <w:t>algovir Effekt ist ein Medizinprodukt und klinisch geprüft.</w:t>
      </w:r>
    </w:p>
    <w:p w14:paraId="786E177A" w14:textId="77777777" w:rsidR="006C2915" w:rsidRDefault="006C2915" w:rsidP="006C2915">
      <w:pPr>
        <w:tabs>
          <w:tab w:val="left" w:pos="3500"/>
        </w:tabs>
        <w:ind w:left="3500" w:hanging="3500"/>
        <w:jc w:val="both"/>
        <w:rPr>
          <w:sz w:val="22"/>
          <w:szCs w:val="22"/>
        </w:rPr>
      </w:pPr>
    </w:p>
    <w:p w14:paraId="3287AE77" w14:textId="77777777" w:rsidR="006C2915" w:rsidRDefault="006C2915" w:rsidP="006C2915">
      <w:pPr>
        <w:tabs>
          <w:tab w:val="left" w:pos="3500"/>
        </w:tabs>
        <w:ind w:left="3500" w:hanging="3500"/>
        <w:jc w:val="both"/>
        <w:rPr>
          <w:sz w:val="22"/>
          <w:szCs w:val="22"/>
        </w:rPr>
      </w:pPr>
      <w:r>
        <w:rPr>
          <w:sz w:val="22"/>
          <w:szCs w:val="22"/>
        </w:rPr>
        <w:tab/>
        <w:t>algovir Effekt wirkt nicht abschwellend.</w:t>
      </w:r>
    </w:p>
    <w:p w14:paraId="1A3CCA8C" w14:textId="77777777" w:rsidR="0044417C" w:rsidRDefault="0044417C" w:rsidP="006C2915">
      <w:pPr>
        <w:tabs>
          <w:tab w:val="left" w:pos="3500"/>
        </w:tabs>
        <w:ind w:left="3500" w:hanging="3500"/>
        <w:jc w:val="both"/>
        <w:rPr>
          <w:sz w:val="22"/>
          <w:szCs w:val="22"/>
        </w:rPr>
      </w:pPr>
    </w:p>
    <w:p w14:paraId="293322FE" w14:textId="77777777" w:rsidR="0044417C" w:rsidRDefault="0044417C" w:rsidP="006C2915">
      <w:pPr>
        <w:tabs>
          <w:tab w:val="left" w:pos="3500"/>
        </w:tabs>
        <w:ind w:left="3500" w:hanging="3500"/>
        <w:jc w:val="both"/>
        <w:rPr>
          <w:sz w:val="22"/>
          <w:szCs w:val="22"/>
        </w:rPr>
      </w:pPr>
      <w:r>
        <w:rPr>
          <w:sz w:val="22"/>
          <w:szCs w:val="22"/>
        </w:rPr>
        <w:tab/>
        <w:t>algovir Effekt enthält kein Schmerzmittel, keine Konservierungsmittel, keine tierischen Bestandteile oder Treibhausgas.</w:t>
      </w:r>
    </w:p>
    <w:p w14:paraId="29D244B7" w14:textId="77777777" w:rsidR="0044417C" w:rsidRDefault="0044417C" w:rsidP="006C2915">
      <w:pPr>
        <w:tabs>
          <w:tab w:val="left" w:pos="3500"/>
        </w:tabs>
        <w:ind w:left="3500" w:hanging="3500"/>
        <w:jc w:val="both"/>
        <w:rPr>
          <w:sz w:val="22"/>
          <w:szCs w:val="22"/>
        </w:rPr>
      </w:pPr>
    </w:p>
    <w:p w14:paraId="02A2DD2D" w14:textId="77777777" w:rsidR="0044417C" w:rsidRDefault="0044417C" w:rsidP="006C2915">
      <w:pPr>
        <w:tabs>
          <w:tab w:val="left" w:pos="3500"/>
        </w:tabs>
        <w:ind w:left="3500" w:hanging="3500"/>
        <w:jc w:val="both"/>
        <w:rPr>
          <w:sz w:val="22"/>
          <w:szCs w:val="22"/>
        </w:rPr>
      </w:pPr>
      <w:r>
        <w:rPr>
          <w:sz w:val="22"/>
          <w:szCs w:val="22"/>
        </w:rPr>
        <w:tab/>
        <w:t>algovir Effekt ist laktose- und glutenfrei und kann von Diabetikern angewendet werden.</w:t>
      </w:r>
    </w:p>
    <w:p w14:paraId="3D0BBFC5" w14:textId="77777777" w:rsidR="006C2915" w:rsidRDefault="006C2915" w:rsidP="006C2915">
      <w:pPr>
        <w:tabs>
          <w:tab w:val="left" w:pos="3500"/>
        </w:tabs>
        <w:ind w:left="3500" w:hanging="3500"/>
        <w:jc w:val="both"/>
        <w:rPr>
          <w:sz w:val="22"/>
          <w:szCs w:val="22"/>
        </w:rPr>
      </w:pPr>
    </w:p>
    <w:p w14:paraId="06C8B9CB" w14:textId="77777777" w:rsidR="0044417C" w:rsidRDefault="006C2915" w:rsidP="006C2915">
      <w:pPr>
        <w:tabs>
          <w:tab w:val="left" w:pos="3500"/>
        </w:tabs>
        <w:ind w:left="3495" w:hanging="3495"/>
        <w:jc w:val="both"/>
        <w:rPr>
          <w:sz w:val="22"/>
          <w:szCs w:val="22"/>
        </w:rPr>
      </w:pPr>
      <w:r>
        <w:rPr>
          <w:sz w:val="22"/>
          <w:szCs w:val="22"/>
        </w:rPr>
        <w:tab/>
        <w:t>algovir Effekt kann auch während der Schwangerschaft und Stillzeit verwendet werden.</w:t>
      </w:r>
    </w:p>
    <w:p w14:paraId="5D8C6754" w14:textId="77777777" w:rsidR="0044417C" w:rsidRDefault="0044417C" w:rsidP="006C2915">
      <w:pPr>
        <w:tabs>
          <w:tab w:val="left" w:pos="3500"/>
        </w:tabs>
        <w:ind w:left="3495" w:hanging="3495"/>
        <w:jc w:val="both"/>
        <w:rPr>
          <w:sz w:val="22"/>
          <w:szCs w:val="22"/>
        </w:rPr>
      </w:pPr>
      <w:r>
        <w:rPr>
          <w:sz w:val="22"/>
          <w:szCs w:val="22"/>
        </w:rPr>
        <w:tab/>
      </w:r>
      <w:r>
        <w:rPr>
          <w:sz w:val="22"/>
          <w:szCs w:val="22"/>
        </w:rPr>
        <w:tab/>
      </w:r>
    </w:p>
    <w:p w14:paraId="6E64DF66" w14:textId="77777777" w:rsidR="003F3F99" w:rsidRPr="00235BE4" w:rsidRDefault="003F3F99" w:rsidP="003F3F99">
      <w:pPr>
        <w:tabs>
          <w:tab w:val="left" w:pos="3500"/>
        </w:tabs>
        <w:rPr>
          <w:sz w:val="22"/>
          <w:szCs w:val="22"/>
        </w:rPr>
      </w:pPr>
      <w:r w:rsidRPr="00235BE4">
        <w:rPr>
          <w:sz w:val="22"/>
          <w:szCs w:val="22"/>
        </w:rPr>
        <w:tab/>
      </w:r>
    </w:p>
    <w:p w14:paraId="2EDB3CC0" w14:textId="77777777" w:rsidR="003F3F99" w:rsidRDefault="003F3F99" w:rsidP="006C2915">
      <w:pPr>
        <w:tabs>
          <w:tab w:val="left" w:pos="3500"/>
        </w:tabs>
        <w:ind w:left="3495" w:hanging="3495"/>
        <w:jc w:val="both"/>
        <w:rPr>
          <w:sz w:val="22"/>
          <w:szCs w:val="22"/>
        </w:rPr>
      </w:pPr>
      <w:r>
        <w:rPr>
          <w:b/>
          <w:sz w:val="22"/>
          <w:szCs w:val="22"/>
        </w:rPr>
        <w:t>Haltbarkeit</w:t>
      </w:r>
      <w:r w:rsidRPr="00235BE4">
        <w:rPr>
          <w:sz w:val="22"/>
          <w:szCs w:val="22"/>
        </w:rPr>
        <w:tab/>
      </w:r>
      <w:r>
        <w:rPr>
          <w:sz w:val="22"/>
          <w:szCs w:val="22"/>
        </w:rPr>
        <w:tab/>
      </w:r>
      <w:r w:rsidR="006C2915">
        <w:rPr>
          <w:sz w:val="22"/>
          <w:szCs w:val="22"/>
        </w:rPr>
        <w:t>36 Monate ab Herstellung</w:t>
      </w:r>
    </w:p>
    <w:p w14:paraId="2BB64C6C" w14:textId="77777777" w:rsidR="006C2915" w:rsidRPr="003F3F99" w:rsidRDefault="006C2915" w:rsidP="006C2915">
      <w:pPr>
        <w:tabs>
          <w:tab w:val="left" w:pos="3500"/>
        </w:tabs>
        <w:ind w:left="3495" w:hanging="3495"/>
        <w:jc w:val="both"/>
        <w:rPr>
          <w:sz w:val="22"/>
          <w:szCs w:val="22"/>
        </w:rPr>
      </w:pPr>
      <w:r>
        <w:rPr>
          <w:sz w:val="22"/>
          <w:szCs w:val="22"/>
        </w:rPr>
        <w:tab/>
      </w:r>
      <w:r>
        <w:rPr>
          <w:sz w:val="22"/>
          <w:szCs w:val="22"/>
        </w:rPr>
        <w:tab/>
        <w:t>Durch das spezielle Filtersystem bleibt die Lösung auch nach wiederholter Anwendung steril. algovir Effekt kann daher auch nach Anbruch bis zu dem auf der Packung angegebenen Verfalldatum verwendet werden.</w:t>
      </w:r>
    </w:p>
    <w:p w14:paraId="0B9E8755" w14:textId="77777777" w:rsidR="00A421CC" w:rsidRPr="00235BE4" w:rsidRDefault="00A421CC" w:rsidP="00235BE4">
      <w:pPr>
        <w:tabs>
          <w:tab w:val="left" w:pos="3500"/>
        </w:tabs>
        <w:rPr>
          <w:sz w:val="22"/>
          <w:szCs w:val="22"/>
        </w:rPr>
      </w:pPr>
      <w:r w:rsidRPr="00235BE4">
        <w:rPr>
          <w:sz w:val="22"/>
          <w:szCs w:val="22"/>
        </w:rPr>
        <w:tab/>
      </w:r>
    </w:p>
    <w:p w14:paraId="5BBA6EEA" w14:textId="77777777" w:rsidR="00681CC4" w:rsidRPr="00235BE4" w:rsidRDefault="00681CC4" w:rsidP="00235BE4">
      <w:pPr>
        <w:tabs>
          <w:tab w:val="left" w:pos="3500"/>
        </w:tabs>
        <w:ind w:left="3495" w:hanging="3495"/>
        <w:jc w:val="both"/>
        <w:rPr>
          <w:sz w:val="22"/>
          <w:szCs w:val="22"/>
        </w:rPr>
      </w:pPr>
    </w:p>
    <w:sectPr w:rsidR="00681CC4" w:rsidRPr="00235BE4" w:rsidSect="00235BE4">
      <w:headerReference w:type="default" r:id="rId7"/>
      <w:pgSz w:w="11906" w:h="16838" w:code="9"/>
      <w:pgMar w:top="1418" w:right="1418" w:bottom="1134" w:left="1418" w:header="1247" w:footer="130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1445C" w14:textId="77777777" w:rsidR="00D172A4" w:rsidRDefault="00D172A4">
      <w:r>
        <w:separator/>
      </w:r>
    </w:p>
  </w:endnote>
  <w:endnote w:type="continuationSeparator" w:id="0">
    <w:p w14:paraId="409C1FE1" w14:textId="77777777" w:rsidR="00D172A4" w:rsidRDefault="00D1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E2513" w14:textId="77777777" w:rsidR="00D172A4" w:rsidRDefault="00D172A4">
      <w:r>
        <w:separator/>
      </w:r>
    </w:p>
  </w:footnote>
  <w:footnote w:type="continuationSeparator" w:id="0">
    <w:p w14:paraId="08451241" w14:textId="77777777" w:rsidR="00D172A4" w:rsidRDefault="00D1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6C6D" w14:textId="540D5DA9" w:rsidR="00901AB1" w:rsidRPr="00901AB1" w:rsidRDefault="007B6B69" w:rsidP="00901AB1">
    <w:pPr>
      <w:pStyle w:val="Kopfzeile"/>
      <w:jc w:val="right"/>
      <w:rPr>
        <w:rFonts w:cs="Arial"/>
        <w:sz w:val="22"/>
        <w:szCs w:val="22"/>
      </w:rPr>
    </w:pPr>
    <w:r>
      <w:rPr>
        <w:noProof/>
      </w:rPr>
      <w:drawing>
        <wp:inline distT="0" distB="0" distL="0" distR="0" wp14:anchorId="18182A99" wp14:editId="2A2B23E9">
          <wp:extent cx="1165860" cy="60198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601980"/>
                  </a:xfrm>
                  <a:prstGeom prst="rect">
                    <a:avLst/>
                  </a:prstGeom>
                  <a:noFill/>
                  <a:ln>
                    <a:noFill/>
                  </a:ln>
                </pic:spPr>
              </pic:pic>
            </a:graphicData>
          </a:graphic>
        </wp:inline>
      </w:drawing>
    </w:r>
  </w:p>
  <w:p w14:paraId="48CC5A64" w14:textId="77777777" w:rsidR="00901AB1" w:rsidRPr="00901AB1" w:rsidRDefault="00901AB1" w:rsidP="00901AB1">
    <w:pPr>
      <w:pStyle w:val="Kopfzeile"/>
      <w:jc w:val="right"/>
      <w:rPr>
        <w:rFonts w:cs="Arial"/>
        <w:sz w:val="22"/>
        <w:szCs w:val="22"/>
      </w:rPr>
    </w:pPr>
  </w:p>
  <w:p w14:paraId="62B486BE" w14:textId="77777777" w:rsidR="00901AB1" w:rsidRPr="00901AB1" w:rsidRDefault="00901AB1" w:rsidP="00901AB1">
    <w:pPr>
      <w:pStyle w:val="Kopfzeile"/>
      <w:jc w:val="right"/>
      <w:rPr>
        <w:rFonts w:cs="Arial"/>
        <w:sz w:val="22"/>
        <w:szCs w:val="22"/>
      </w:rPr>
    </w:pPr>
  </w:p>
  <w:p w14:paraId="42A20DC0" w14:textId="77777777" w:rsidR="00901AB1" w:rsidRPr="00901AB1" w:rsidRDefault="00901AB1" w:rsidP="00901AB1">
    <w:pPr>
      <w:pStyle w:val="Kopfzeile"/>
      <w:jc w:val="right"/>
      <w:rPr>
        <w:rFonts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51"/>
    <w:rsid w:val="00003673"/>
    <w:rsid w:val="00010972"/>
    <w:rsid w:val="00105B44"/>
    <w:rsid w:val="001C6876"/>
    <w:rsid w:val="00235BE4"/>
    <w:rsid w:val="00313755"/>
    <w:rsid w:val="003350D1"/>
    <w:rsid w:val="003658F0"/>
    <w:rsid w:val="003A4972"/>
    <w:rsid w:val="003A7D6D"/>
    <w:rsid w:val="003F3F99"/>
    <w:rsid w:val="0044417C"/>
    <w:rsid w:val="004530AA"/>
    <w:rsid w:val="005B6614"/>
    <w:rsid w:val="005C0227"/>
    <w:rsid w:val="00610AB6"/>
    <w:rsid w:val="00681CC4"/>
    <w:rsid w:val="006C2915"/>
    <w:rsid w:val="00773747"/>
    <w:rsid w:val="00797729"/>
    <w:rsid w:val="007B6B69"/>
    <w:rsid w:val="007F385B"/>
    <w:rsid w:val="0085004B"/>
    <w:rsid w:val="00901AB1"/>
    <w:rsid w:val="00A421CC"/>
    <w:rsid w:val="00A56176"/>
    <w:rsid w:val="00C44411"/>
    <w:rsid w:val="00CB1ED0"/>
    <w:rsid w:val="00CC4281"/>
    <w:rsid w:val="00D172A4"/>
    <w:rsid w:val="00D264B2"/>
    <w:rsid w:val="00DB3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E6C2F"/>
  <w15:chartTrackingRefBased/>
  <w15:docId w15:val="{5F36EC8D-C1DB-4116-B9E3-AAB44FBA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21C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421CC"/>
    <w:pPr>
      <w:tabs>
        <w:tab w:val="center" w:pos="4819"/>
        <w:tab w:val="right" w:pos="9071"/>
      </w:tabs>
    </w:pPr>
  </w:style>
  <w:style w:type="paragraph" w:styleId="Textkrper-Zeileneinzug">
    <w:name w:val="Body Text Indent"/>
    <w:basedOn w:val="Standard"/>
    <w:rsid w:val="00A421CC"/>
    <w:pPr>
      <w:tabs>
        <w:tab w:val="left" w:pos="2835"/>
      </w:tabs>
      <w:ind w:left="2835" w:hanging="2835"/>
    </w:pPr>
  </w:style>
  <w:style w:type="paragraph" w:styleId="Kopfzeile">
    <w:name w:val="header"/>
    <w:basedOn w:val="Standard"/>
    <w:link w:val="KopfzeileZchn"/>
    <w:uiPriority w:val="99"/>
    <w:rsid w:val="00235BE4"/>
    <w:pPr>
      <w:tabs>
        <w:tab w:val="center" w:pos="4536"/>
        <w:tab w:val="right" w:pos="9072"/>
      </w:tabs>
    </w:pPr>
  </w:style>
  <w:style w:type="character" w:customStyle="1" w:styleId="KopfzeileZchn">
    <w:name w:val="Kopfzeile Zchn"/>
    <w:link w:val="Kopfzeile"/>
    <w:uiPriority w:val="99"/>
    <w:rsid w:val="00A56176"/>
    <w:rPr>
      <w:rFonts w:ascii="Arial" w:hAnsi="Arial"/>
      <w:sz w:val="24"/>
    </w:rPr>
  </w:style>
  <w:style w:type="paragraph" w:styleId="Sprechblasentext">
    <w:name w:val="Balloon Text"/>
    <w:basedOn w:val="Standard"/>
    <w:link w:val="SprechblasentextZchn"/>
    <w:uiPriority w:val="99"/>
    <w:semiHidden/>
    <w:unhideWhenUsed/>
    <w:rsid w:val="00A56176"/>
    <w:rPr>
      <w:rFonts w:ascii="Tahoma" w:hAnsi="Tahoma" w:cs="Tahoma"/>
      <w:sz w:val="16"/>
      <w:szCs w:val="16"/>
    </w:rPr>
  </w:style>
  <w:style w:type="character" w:customStyle="1" w:styleId="SprechblasentextZchn">
    <w:name w:val="Sprechblasentext Zchn"/>
    <w:link w:val="Sprechblasentext"/>
    <w:uiPriority w:val="99"/>
    <w:semiHidden/>
    <w:rsid w:val="00A56176"/>
    <w:rPr>
      <w:rFonts w:ascii="Tahoma" w:hAnsi="Tahoma" w:cs="Tahoma"/>
      <w:sz w:val="16"/>
      <w:szCs w:val="16"/>
    </w:rPr>
  </w:style>
  <w:style w:type="character" w:customStyle="1" w:styleId="FuzeileZchn">
    <w:name w:val="Fußzeile Zchn"/>
    <w:link w:val="Fuzeile"/>
    <w:rsid w:val="00A56176"/>
    <w:rPr>
      <w:rFonts w:ascii="Arial" w:hAnsi="Arial"/>
      <w:sz w:val="24"/>
    </w:rPr>
  </w:style>
  <w:style w:type="paragraph" w:styleId="StandardWeb">
    <w:name w:val="Normal (Web)"/>
    <w:basedOn w:val="Standard"/>
    <w:uiPriority w:val="99"/>
    <w:unhideWhenUsed/>
    <w:rsid w:val="00A56176"/>
    <w:pPr>
      <w:spacing w:before="100" w:beforeAutospacing="1" w:after="100" w:afterAutospacing="1"/>
    </w:pPr>
    <w:rPr>
      <w:rFonts w:ascii="Times New Roman" w:eastAsia="Calibri" w:hAnsi="Times New Roman"/>
      <w:szCs w:val="24"/>
    </w:rPr>
  </w:style>
  <w:style w:type="table" w:styleId="Tabellenraster">
    <w:name w:val="Table Grid"/>
    <w:basedOn w:val="NormaleTabelle"/>
    <w:uiPriority w:val="39"/>
    <w:rsid w:val="0085004B"/>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75B-22E1-4AB1-B864-4F2F6301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Biolectra* Magnesium Direct</vt:lpstr>
    </vt:vector>
  </TitlesOfParts>
  <Company>Hermes Arzneimittel GmbH</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Biolectra* Magnesium Direct</dc:title>
  <dc:subject/>
  <dc:creator>Hermes</dc:creator>
  <cp:keywords/>
  <cp:lastModifiedBy>Carmen Zimmermann</cp:lastModifiedBy>
  <cp:revision>2</cp:revision>
  <cp:lastPrinted>2006-08-31T15:44:00Z</cp:lastPrinted>
  <dcterms:created xsi:type="dcterms:W3CDTF">2021-03-22T12:01:00Z</dcterms:created>
  <dcterms:modified xsi:type="dcterms:W3CDTF">2021-03-22T12:01:00Z</dcterms:modified>
</cp:coreProperties>
</file>